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宋体" w:hAnsi="宋体" w:eastAsia="宋体"/>
          <w:b/>
          <w:szCs w:val="24"/>
        </w:rPr>
      </w:pPr>
      <w:r>
        <w:rPr>
          <w:rFonts w:ascii="宋体" w:hAnsi="宋体" w:eastAsia="宋体"/>
          <w:b/>
          <w:szCs w:val="24"/>
        </w:rPr>
        <w:t>广州鼎胜物流有限公司</w:t>
      </w:r>
    </w:p>
    <w:p>
      <w:pPr>
        <w:spacing w:afterLines="50"/>
        <w:jc w:val="center"/>
        <w:rPr>
          <w:rFonts w:ascii="宋体" w:hAnsi="宋体" w:eastAsia="宋体"/>
          <w:b/>
          <w:szCs w:val="24"/>
        </w:rPr>
      </w:pPr>
      <w:r>
        <w:rPr>
          <w:rFonts w:ascii="宋体" w:hAnsi="宋体" w:eastAsia="宋体"/>
          <w:b/>
          <w:szCs w:val="24"/>
        </w:rPr>
        <w:t>牵引车及半挂车等设备定点维修维护项目</w:t>
      </w:r>
      <w:r>
        <w:rPr>
          <w:rFonts w:hint="eastAsia" w:ascii="宋体" w:hAnsi="宋体" w:eastAsia="宋体"/>
          <w:b/>
          <w:szCs w:val="24"/>
        </w:rPr>
        <w:t>比质比价</w:t>
      </w:r>
    </w:p>
    <w:p>
      <w:pPr>
        <w:spacing w:afterLines="50"/>
        <w:jc w:val="center"/>
        <w:rPr>
          <w:rFonts w:hint="eastAsia" w:ascii="宋体" w:hAnsi="宋体" w:eastAsia="宋体"/>
          <w:b/>
          <w:szCs w:val="24"/>
        </w:rPr>
      </w:pPr>
      <w:r>
        <w:rPr>
          <w:rFonts w:hint="eastAsia" w:ascii="宋体" w:hAnsi="宋体" w:eastAsia="宋体"/>
          <w:b/>
          <w:szCs w:val="24"/>
        </w:rPr>
        <w:t>文件编号：GPL-ENG-2020-Q-92</w:t>
      </w:r>
    </w:p>
    <w:p>
      <w:pPr>
        <w:spacing w:afterLines="50"/>
        <w:jc w:val="center"/>
        <w:rPr>
          <w:rFonts w:ascii="宋体" w:hAnsi="宋体" w:eastAsia="宋体"/>
          <w:b/>
          <w:szCs w:val="24"/>
        </w:rPr>
      </w:pPr>
      <w:r>
        <w:rPr>
          <w:rFonts w:hint="eastAsia" w:ascii="宋体" w:hAnsi="宋体" w:eastAsia="宋体"/>
          <w:b/>
          <w:szCs w:val="24"/>
        </w:rPr>
        <w:t>第一部分：公告</w:t>
      </w:r>
      <w:bookmarkStart w:id="17" w:name="_GoBack"/>
      <w:bookmarkEnd w:id="17"/>
    </w:p>
    <w:p>
      <w:pPr>
        <w:spacing w:afterLines="50"/>
        <w:ind w:left="240" w:leftChars="100"/>
        <w:jc w:val="left"/>
        <w:rPr>
          <w:rFonts w:ascii="宋体" w:hAnsi="宋体" w:eastAsia="宋体"/>
          <w:b/>
          <w:szCs w:val="24"/>
        </w:rPr>
      </w:pPr>
      <w:r>
        <w:rPr>
          <w:rFonts w:ascii="宋体" w:hAnsi="宋体" w:eastAsia="宋体"/>
          <w:bCs/>
          <w:szCs w:val="24"/>
        </w:rPr>
        <w:t>广州鼎胜物流有限公司</w:t>
      </w:r>
      <w:r>
        <w:rPr>
          <w:rFonts w:hint="eastAsia" w:ascii="宋体" w:hAnsi="宋体" w:eastAsia="宋体"/>
          <w:bCs/>
          <w:szCs w:val="24"/>
        </w:rPr>
        <w:t>就</w:t>
      </w:r>
      <w:r>
        <w:rPr>
          <w:rFonts w:ascii="宋体" w:hAnsi="宋体" w:eastAsia="宋体"/>
          <w:bCs/>
          <w:szCs w:val="24"/>
        </w:rPr>
        <w:t>牵引车及半挂车等设备定点维修维护项目</w:t>
      </w:r>
      <w:r>
        <w:rPr>
          <w:rFonts w:hint="eastAsia" w:ascii="宋体" w:hAnsi="宋体" w:eastAsia="宋体"/>
          <w:bCs/>
          <w:szCs w:val="24"/>
        </w:rPr>
        <w:t>，进行比质比价，欢迎符合条件的相关公司前来参与并</w:t>
      </w:r>
      <w:r>
        <w:rPr>
          <w:rFonts w:hint="eastAsia" w:ascii="宋体" w:hAnsi="宋体" w:eastAsia="宋体"/>
          <w:szCs w:val="24"/>
        </w:rPr>
        <w:t>报价。</w:t>
      </w:r>
    </w:p>
    <w:p>
      <w:pPr>
        <w:spacing w:afterLines="50"/>
        <w:ind w:left="240" w:leftChars="100"/>
        <w:jc w:val="left"/>
        <w:rPr>
          <w:rFonts w:ascii="宋体" w:hAnsi="宋体" w:eastAsia="宋体"/>
          <w:szCs w:val="24"/>
        </w:rPr>
      </w:pPr>
      <w:r>
        <w:rPr>
          <w:rFonts w:ascii="宋体" w:hAnsi="宋体" w:eastAsia="宋体"/>
          <w:szCs w:val="24"/>
        </w:rPr>
        <w:t>甲方：</w:t>
      </w:r>
      <w:r>
        <w:rPr>
          <w:rFonts w:ascii="宋体" w:hAnsi="宋体" w:eastAsia="宋体"/>
          <w:bCs/>
          <w:szCs w:val="24"/>
        </w:rPr>
        <w:t>广州鼎胜物流有限公司</w:t>
      </w:r>
      <w:r>
        <w:rPr>
          <w:rFonts w:hint="eastAsia" w:ascii="宋体" w:hAnsi="宋体" w:eastAsia="宋体"/>
          <w:bCs/>
          <w:szCs w:val="24"/>
        </w:rPr>
        <w:t>（</w:t>
      </w:r>
      <w:r>
        <w:rPr>
          <w:rFonts w:ascii="宋体" w:hAnsi="宋体" w:eastAsia="宋体"/>
          <w:szCs w:val="24"/>
        </w:rPr>
        <w:t>简称</w:t>
      </w:r>
      <w:r>
        <w:rPr>
          <w:rFonts w:hint="eastAsia" w:ascii="宋体" w:hAnsi="宋体" w:eastAsia="宋体"/>
          <w:szCs w:val="24"/>
        </w:rPr>
        <w:t>：GPL</w:t>
      </w:r>
      <w:r>
        <w:rPr>
          <w:rFonts w:ascii="宋体" w:hAnsi="宋体" w:eastAsia="宋体"/>
          <w:szCs w:val="24"/>
        </w:rPr>
        <w:t>）</w:t>
      </w:r>
    </w:p>
    <w:p>
      <w:pPr>
        <w:spacing w:afterLines="50"/>
        <w:ind w:left="240" w:leftChars="100"/>
        <w:jc w:val="left"/>
        <w:rPr>
          <w:rFonts w:ascii="宋体" w:hAnsi="宋体" w:eastAsia="宋体"/>
          <w:szCs w:val="24"/>
        </w:rPr>
      </w:pPr>
      <w:r>
        <w:rPr>
          <w:rFonts w:ascii="宋体" w:hAnsi="宋体" w:eastAsia="宋体"/>
          <w:szCs w:val="24"/>
        </w:rPr>
        <w:t>乙方：参与项目报价的公司（</w:t>
      </w:r>
      <w:r>
        <w:rPr>
          <w:rFonts w:hint="eastAsia" w:ascii="宋体" w:hAnsi="宋体" w:eastAsia="宋体"/>
          <w:szCs w:val="24"/>
        </w:rPr>
        <w:t>不</w:t>
      </w:r>
      <w:r>
        <w:rPr>
          <w:rFonts w:ascii="宋体" w:hAnsi="宋体" w:eastAsia="宋体"/>
          <w:szCs w:val="24"/>
        </w:rPr>
        <w:t>接受联合体报价）</w:t>
      </w:r>
    </w:p>
    <w:p>
      <w:pPr>
        <w:numPr>
          <w:ilvl w:val="0"/>
          <w:numId w:val="2"/>
        </w:numPr>
        <w:spacing w:afterLines="50"/>
      </w:pPr>
      <w:r>
        <w:t>项目名称：</w:t>
      </w:r>
      <w:r>
        <w:rPr>
          <w:rFonts w:ascii="宋体" w:hAnsi="宋体" w:eastAsia="宋体"/>
          <w:bCs/>
          <w:szCs w:val="24"/>
        </w:rPr>
        <w:t>广州鼎胜物流有</w:t>
      </w:r>
      <w:r>
        <w:t>限公司</w:t>
      </w:r>
      <w:r>
        <w:rPr>
          <w:rFonts w:hint="eastAsia"/>
        </w:rPr>
        <w:t>五台牵引车及五台半挂车的</w:t>
      </w:r>
      <w:r>
        <w:t>大修、各级维护、小修、中修、车辆年检等服务项目维修</w:t>
      </w:r>
      <w:r>
        <w:rPr>
          <w:rFonts w:hint="eastAsia"/>
        </w:rPr>
        <w:t>等。</w:t>
      </w:r>
    </w:p>
    <w:p>
      <w:pPr>
        <w:numPr>
          <w:ilvl w:val="0"/>
          <w:numId w:val="2"/>
        </w:numPr>
        <w:spacing w:afterLines="50"/>
      </w:pPr>
      <w:r>
        <w:t>比质比价报价时间：20</w:t>
      </w:r>
      <w:r>
        <w:rPr>
          <w:rFonts w:hint="eastAsia"/>
        </w:rPr>
        <w:t>20</w:t>
      </w:r>
      <w:r>
        <w:t>年</w:t>
      </w:r>
      <w:r>
        <w:rPr>
          <w:rFonts w:hint="eastAsia"/>
          <w:lang w:val="en-US" w:eastAsia="zh-CN"/>
        </w:rPr>
        <w:t>7</w:t>
      </w:r>
      <w:r>
        <w:t>月</w:t>
      </w:r>
      <w:r>
        <w:rPr>
          <w:rFonts w:hint="eastAsia"/>
          <w:lang w:val="en-US" w:eastAsia="zh-CN"/>
        </w:rPr>
        <w:t>21</w:t>
      </w:r>
      <w:r>
        <w:rPr>
          <w:rFonts w:hint="eastAsia"/>
        </w:rPr>
        <w:t>日</w:t>
      </w:r>
      <w:r>
        <w:t>至20</w:t>
      </w:r>
      <w:r>
        <w:rPr>
          <w:rFonts w:hint="eastAsia"/>
        </w:rPr>
        <w:t>20</w:t>
      </w:r>
      <w:r>
        <w:t>年</w:t>
      </w:r>
      <w:r>
        <w:rPr>
          <w:rFonts w:hint="eastAsia"/>
          <w:lang w:val="en-US" w:eastAsia="zh-CN"/>
        </w:rPr>
        <w:t>8</w:t>
      </w:r>
      <w:r>
        <w:t>月</w:t>
      </w:r>
      <w:r>
        <w:rPr>
          <w:rFonts w:hint="eastAsia"/>
          <w:lang w:val="en-US" w:eastAsia="zh-CN"/>
        </w:rPr>
        <w:t>4</w:t>
      </w:r>
      <w:r>
        <w:t>日中午12：00时止。在此时间</w:t>
      </w:r>
      <w:r>
        <w:rPr>
          <w:rFonts w:hint="eastAsia"/>
        </w:rPr>
        <w:t>段内</w:t>
      </w:r>
      <w:r>
        <w:t>将密封好的报价</w:t>
      </w:r>
      <w:r>
        <w:rPr>
          <w:rFonts w:hint="eastAsia"/>
        </w:rPr>
        <w:t>文件</w:t>
      </w:r>
      <w:r>
        <w:t>投放至广州</w:t>
      </w:r>
      <w:r>
        <w:rPr>
          <w:rFonts w:hint="eastAsia"/>
        </w:rPr>
        <w:t>集装箱码头有限公司</w:t>
      </w:r>
      <w:r>
        <w:t>二楼财务部</w:t>
      </w:r>
      <w:r>
        <w:rPr>
          <w:rFonts w:hint="eastAsia"/>
        </w:rPr>
        <w:t>大号</w:t>
      </w:r>
      <w:r>
        <w:t>密封箱中。</w:t>
      </w:r>
    </w:p>
    <w:p>
      <w:pPr>
        <w:numPr>
          <w:ilvl w:val="0"/>
          <w:numId w:val="2"/>
        </w:numPr>
        <w:spacing w:afterLines="50"/>
      </w:pPr>
      <w:r>
        <w:t>资格审核：</w:t>
      </w:r>
    </w:p>
    <w:p>
      <w:pPr>
        <w:spacing w:afterLines="50"/>
        <w:ind w:left="480" w:leftChars="200" w:firstLine="240" w:firstLineChars="100"/>
        <w:jc w:val="left"/>
        <w:rPr>
          <w:rFonts w:ascii="宋体" w:hAnsi="宋体" w:eastAsia="宋体"/>
          <w:szCs w:val="24"/>
        </w:rPr>
      </w:pPr>
      <w:r>
        <w:rPr>
          <w:rFonts w:hint="eastAsia" w:ascii="宋体" w:hAnsi="宋体" w:eastAsia="宋体"/>
          <w:szCs w:val="24"/>
        </w:rPr>
        <w:t>乙方需提供以下资料文件，作为报价文件的部分，供甲方审核。</w:t>
      </w:r>
    </w:p>
    <w:p>
      <w:pPr>
        <w:numPr>
          <w:ilvl w:val="0"/>
          <w:numId w:val="3"/>
        </w:numPr>
        <w:spacing w:afterLines="50"/>
        <w:jc w:val="left"/>
        <w:rPr>
          <w:rFonts w:ascii="宋体" w:hAnsi="宋体" w:eastAsia="宋体"/>
          <w:szCs w:val="24"/>
        </w:rPr>
      </w:pPr>
      <w:r>
        <w:rPr>
          <w:rFonts w:ascii="宋体" w:hAnsi="宋体" w:eastAsia="宋体"/>
          <w:szCs w:val="24"/>
        </w:rPr>
        <w:t>企业：提供经办人身份证、法定代表人授权书、企业法人营业执照、税务登记证、组织机构代码证</w:t>
      </w:r>
      <w:r>
        <w:rPr>
          <w:rFonts w:hint="eastAsia" w:ascii="宋体" w:hAnsi="宋体" w:eastAsia="宋体"/>
          <w:szCs w:val="24"/>
        </w:rPr>
        <w:t>、开户许可证、专业资质证书等证件</w:t>
      </w:r>
      <w:r>
        <w:rPr>
          <w:rFonts w:ascii="宋体" w:hAnsi="宋体" w:eastAsia="宋体"/>
          <w:szCs w:val="24"/>
        </w:rPr>
        <w:t>原件的复印件（需加盖</w:t>
      </w:r>
      <w:r>
        <w:rPr>
          <w:rFonts w:hint="eastAsia" w:ascii="宋体" w:hAnsi="宋体" w:eastAsia="宋体"/>
          <w:szCs w:val="24"/>
        </w:rPr>
        <w:t>单位</w:t>
      </w:r>
      <w:r>
        <w:rPr>
          <w:rFonts w:ascii="宋体" w:hAnsi="宋体" w:eastAsia="宋体"/>
          <w:szCs w:val="24"/>
        </w:rPr>
        <w:t>公章）各一份</w:t>
      </w:r>
      <w:r>
        <w:rPr>
          <w:rFonts w:hint="eastAsia" w:ascii="宋体" w:hAnsi="宋体" w:eastAsia="宋体"/>
          <w:szCs w:val="24"/>
        </w:rPr>
        <w:t>。</w:t>
      </w:r>
    </w:p>
    <w:p>
      <w:pPr>
        <w:numPr>
          <w:ilvl w:val="0"/>
          <w:numId w:val="3"/>
        </w:numPr>
        <w:spacing w:afterLines="50"/>
        <w:jc w:val="left"/>
        <w:rPr>
          <w:rFonts w:ascii="宋体" w:hAnsi="宋体" w:eastAsia="宋体"/>
          <w:szCs w:val="24"/>
        </w:rPr>
      </w:pPr>
      <w:r>
        <w:rPr>
          <w:rFonts w:ascii="宋体" w:hAnsi="宋体" w:eastAsia="宋体"/>
          <w:szCs w:val="24"/>
        </w:rPr>
        <w:t>组织：机关事业单位、社团组织。提供经办人身份证、组织介绍信、组织机构代码证</w:t>
      </w:r>
      <w:r>
        <w:rPr>
          <w:rFonts w:hint="eastAsia" w:ascii="宋体" w:hAnsi="宋体" w:eastAsia="宋体"/>
          <w:szCs w:val="24"/>
        </w:rPr>
        <w:t>、开户许可证、专业资质证书等证件原件</w:t>
      </w:r>
      <w:r>
        <w:rPr>
          <w:rFonts w:ascii="宋体" w:hAnsi="宋体" w:eastAsia="宋体"/>
          <w:szCs w:val="24"/>
        </w:rPr>
        <w:t>的复印件（需加盖</w:t>
      </w:r>
      <w:r>
        <w:rPr>
          <w:rFonts w:hint="eastAsia" w:ascii="宋体" w:hAnsi="宋体" w:eastAsia="宋体"/>
          <w:szCs w:val="24"/>
        </w:rPr>
        <w:t>单位</w:t>
      </w:r>
      <w:r>
        <w:rPr>
          <w:rFonts w:ascii="宋体" w:hAnsi="宋体" w:eastAsia="宋体"/>
          <w:szCs w:val="24"/>
        </w:rPr>
        <w:t>公章）各一份</w:t>
      </w:r>
      <w:r>
        <w:rPr>
          <w:rFonts w:hint="eastAsia" w:ascii="宋体" w:hAnsi="宋体" w:eastAsia="宋体"/>
          <w:szCs w:val="24"/>
        </w:rPr>
        <w:t>。</w:t>
      </w:r>
    </w:p>
    <w:p>
      <w:pPr>
        <w:numPr>
          <w:ilvl w:val="0"/>
          <w:numId w:val="3"/>
        </w:numPr>
        <w:spacing w:afterLines="50"/>
        <w:jc w:val="left"/>
        <w:rPr>
          <w:rFonts w:ascii="宋体" w:hAnsi="宋体" w:eastAsia="宋体"/>
          <w:szCs w:val="24"/>
        </w:rPr>
      </w:pPr>
      <w:r>
        <w:rPr>
          <w:rFonts w:hint="eastAsia" w:ascii="宋体" w:hAnsi="宋体" w:eastAsia="宋体"/>
          <w:szCs w:val="24"/>
        </w:rPr>
        <w:t>本次报价要求乙方必须来自中华人民共和国国内，</w:t>
      </w:r>
      <w:r>
        <w:rPr>
          <w:rFonts w:ascii="宋体" w:hAnsi="宋体" w:eastAsia="宋体"/>
          <w:szCs w:val="24"/>
        </w:rPr>
        <w:t>具有5年以上同类机械设备</w:t>
      </w:r>
      <w:r>
        <w:rPr>
          <w:rFonts w:hint="eastAsia" w:ascii="宋体" w:hAnsi="宋体" w:eastAsia="宋体"/>
          <w:szCs w:val="24"/>
        </w:rPr>
        <w:t>保养维护</w:t>
      </w:r>
      <w:r>
        <w:rPr>
          <w:rFonts w:ascii="宋体" w:hAnsi="宋体" w:eastAsia="宋体"/>
          <w:szCs w:val="24"/>
        </w:rPr>
        <w:t>经验和技术力量。</w:t>
      </w:r>
      <w:r>
        <w:rPr>
          <w:rFonts w:hint="eastAsia" w:ascii="宋体" w:hAnsi="宋体" w:eastAsia="宋体"/>
          <w:szCs w:val="24"/>
        </w:rPr>
        <w:t>（获得二类汽车维修经营业务或二类其他机动车维修经营业务许可）。</w:t>
      </w:r>
    </w:p>
    <w:p>
      <w:pPr>
        <w:numPr>
          <w:ilvl w:val="0"/>
          <w:numId w:val="3"/>
        </w:numPr>
        <w:spacing w:afterLines="50"/>
        <w:jc w:val="left"/>
        <w:rPr>
          <w:rFonts w:ascii="宋体" w:hAnsi="宋体" w:eastAsia="宋体"/>
          <w:szCs w:val="24"/>
        </w:rPr>
      </w:pPr>
      <w:r>
        <w:rPr>
          <w:rFonts w:ascii="宋体" w:hAnsi="宋体" w:eastAsia="宋体"/>
          <w:szCs w:val="24"/>
        </w:rPr>
        <w:t>乙方须提交详细</w:t>
      </w:r>
      <w:r>
        <w:rPr>
          <w:rFonts w:hint="eastAsia" w:ascii="宋体" w:hAnsi="宋体" w:eastAsia="宋体"/>
          <w:szCs w:val="24"/>
        </w:rPr>
        <w:t>、有效</w:t>
      </w:r>
      <w:r>
        <w:rPr>
          <w:rFonts w:ascii="宋体" w:hAnsi="宋体" w:eastAsia="宋体"/>
          <w:szCs w:val="24"/>
        </w:rPr>
        <w:t>的通讯地址及联系人、联系电话、传真号码。</w:t>
      </w:r>
    </w:p>
    <w:p>
      <w:pPr>
        <w:numPr>
          <w:ilvl w:val="0"/>
          <w:numId w:val="2"/>
        </w:numPr>
        <w:spacing w:afterLines="50"/>
      </w:pPr>
      <w:r>
        <w:t>报价文件</w:t>
      </w:r>
    </w:p>
    <w:p>
      <w:pPr>
        <w:pStyle w:val="19"/>
        <w:numPr>
          <w:ilvl w:val="0"/>
          <w:numId w:val="4"/>
        </w:numPr>
        <w:spacing w:afterLines="50"/>
        <w:ind w:firstLineChars="0"/>
        <w:rPr>
          <w:rFonts w:ascii="宋体" w:hAnsi="宋体" w:eastAsia="宋体"/>
          <w:vanish/>
          <w:szCs w:val="24"/>
        </w:rPr>
      </w:pPr>
    </w:p>
    <w:p>
      <w:pPr>
        <w:pStyle w:val="19"/>
        <w:numPr>
          <w:ilvl w:val="0"/>
          <w:numId w:val="4"/>
        </w:numPr>
        <w:spacing w:afterLines="50"/>
        <w:ind w:firstLineChars="0"/>
        <w:rPr>
          <w:rFonts w:ascii="宋体" w:hAnsi="宋体" w:eastAsia="宋体"/>
          <w:vanish/>
          <w:szCs w:val="24"/>
        </w:rPr>
      </w:pPr>
    </w:p>
    <w:p>
      <w:pPr>
        <w:pStyle w:val="19"/>
        <w:numPr>
          <w:ilvl w:val="0"/>
          <w:numId w:val="4"/>
        </w:numPr>
        <w:spacing w:afterLines="50"/>
        <w:ind w:firstLineChars="0"/>
        <w:rPr>
          <w:rFonts w:ascii="宋体" w:hAnsi="宋体" w:eastAsia="宋体"/>
          <w:vanish/>
          <w:szCs w:val="24"/>
        </w:rPr>
      </w:pPr>
    </w:p>
    <w:p>
      <w:pPr>
        <w:pStyle w:val="19"/>
        <w:numPr>
          <w:ilvl w:val="0"/>
          <w:numId w:val="4"/>
        </w:numPr>
        <w:spacing w:afterLines="50"/>
        <w:ind w:firstLineChars="0"/>
        <w:rPr>
          <w:rFonts w:ascii="宋体" w:hAnsi="宋体" w:eastAsia="宋体"/>
          <w:vanish/>
          <w:szCs w:val="24"/>
        </w:rPr>
      </w:pPr>
    </w:p>
    <w:p>
      <w:pPr>
        <w:pStyle w:val="19"/>
        <w:numPr>
          <w:ilvl w:val="1"/>
          <w:numId w:val="5"/>
        </w:numPr>
        <w:spacing w:afterLines="50"/>
        <w:ind w:left="681" w:hanging="624" w:firstLineChars="0"/>
        <w:rPr>
          <w:rFonts w:ascii="宋体" w:hAnsi="宋体" w:eastAsia="宋体"/>
          <w:szCs w:val="24"/>
        </w:rPr>
      </w:pPr>
      <w:r>
        <w:rPr>
          <w:rFonts w:ascii="宋体" w:hAnsi="宋体" w:eastAsia="宋体"/>
          <w:szCs w:val="24"/>
        </w:rPr>
        <w:t>报价文件应包括但不限于下列内容：</w:t>
      </w:r>
    </w:p>
    <w:p>
      <w:pPr>
        <w:pStyle w:val="19"/>
        <w:numPr>
          <w:ilvl w:val="0"/>
          <w:numId w:val="6"/>
        </w:numPr>
        <w:spacing w:afterLines="50"/>
        <w:ind w:left="397" w:firstLine="573" w:firstLineChars="0"/>
        <w:rPr>
          <w:rFonts w:ascii="宋体" w:hAnsi="宋体" w:eastAsia="宋体"/>
          <w:szCs w:val="24"/>
        </w:rPr>
      </w:pPr>
      <w:r>
        <w:rPr>
          <w:rFonts w:ascii="宋体" w:hAnsi="宋体" w:eastAsia="宋体"/>
          <w:szCs w:val="24"/>
        </w:rPr>
        <w:t>项目报价表（详见第</w:t>
      </w:r>
      <w:r>
        <w:rPr>
          <w:rFonts w:hint="eastAsia" w:ascii="宋体" w:hAnsi="宋体" w:eastAsia="宋体"/>
          <w:szCs w:val="24"/>
        </w:rPr>
        <w:t>四</w:t>
      </w:r>
      <w:r>
        <w:rPr>
          <w:rFonts w:ascii="宋体" w:hAnsi="宋体" w:eastAsia="宋体"/>
          <w:szCs w:val="24"/>
        </w:rPr>
        <w:t>部分）</w:t>
      </w:r>
    </w:p>
    <w:p>
      <w:pPr>
        <w:pStyle w:val="19"/>
        <w:numPr>
          <w:ilvl w:val="0"/>
          <w:numId w:val="6"/>
        </w:numPr>
        <w:spacing w:afterLines="50"/>
        <w:ind w:firstLine="573" w:firstLineChars="0"/>
        <w:rPr>
          <w:rFonts w:ascii="宋体" w:hAnsi="宋体" w:eastAsia="宋体"/>
          <w:szCs w:val="24"/>
        </w:rPr>
      </w:pPr>
      <w:r>
        <w:rPr>
          <w:rFonts w:ascii="宋体" w:hAnsi="宋体" w:eastAsia="宋体"/>
          <w:szCs w:val="24"/>
        </w:rPr>
        <w:t>资质证明以及有效证件（详见第一部分的资格审核部分）等</w:t>
      </w:r>
    </w:p>
    <w:p>
      <w:pPr>
        <w:pStyle w:val="19"/>
        <w:numPr>
          <w:ilvl w:val="1"/>
          <w:numId w:val="5"/>
        </w:numPr>
        <w:spacing w:afterLines="50"/>
        <w:ind w:left="681" w:hanging="624" w:firstLineChars="0"/>
        <w:rPr>
          <w:rFonts w:ascii="宋体" w:hAnsi="宋体" w:eastAsia="宋体"/>
          <w:szCs w:val="24"/>
        </w:rPr>
      </w:pPr>
      <w:r>
        <w:rPr>
          <w:rFonts w:ascii="宋体" w:hAnsi="宋体" w:eastAsia="宋体"/>
          <w:szCs w:val="24"/>
        </w:rPr>
        <w:t>报价文件：</w:t>
      </w:r>
      <w:r>
        <w:rPr>
          <w:rFonts w:hint="eastAsia" w:ascii="宋体" w:hAnsi="宋体" w:eastAsia="宋体"/>
          <w:szCs w:val="24"/>
        </w:rPr>
        <w:t>报价文件一律采用胶装形式，</w:t>
      </w:r>
      <w:r>
        <w:rPr>
          <w:rFonts w:ascii="宋体" w:hAnsi="宋体" w:eastAsia="宋体"/>
          <w:szCs w:val="24"/>
        </w:rPr>
        <w:t>含正本一份和副本</w:t>
      </w:r>
      <w:r>
        <w:rPr>
          <w:rFonts w:hint="eastAsia" w:ascii="宋体" w:hAnsi="宋体" w:eastAsia="宋体"/>
          <w:szCs w:val="24"/>
        </w:rPr>
        <w:t>两</w:t>
      </w:r>
      <w:r>
        <w:rPr>
          <w:rFonts w:ascii="宋体" w:hAnsi="宋体" w:eastAsia="宋体"/>
          <w:szCs w:val="24"/>
        </w:rPr>
        <w:t>份，需由乙方</w:t>
      </w:r>
      <w:r>
        <w:rPr>
          <w:rFonts w:hint="eastAsia" w:ascii="宋体" w:hAnsi="宋体" w:eastAsia="宋体"/>
          <w:szCs w:val="24"/>
        </w:rPr>
        <w:t>的法定代表人或其委托代表人</w:t>
      </w:r>
      <w:r>
        <w:rPr>
          <w:rFonts w:ascii="宋体" w:hAnsi="宋体" w:eastAsia="宋体"/>
          <w:szCs w:val="24"/>
        </w:rPr>
        <w:t>签字（或</w:t>
      </w:r>
      <w:r>
        <w:rPr>
          <w:rFonts w:hint="eastAsia" w:ascii="宋体" w:hAnsi="宋体" w:eastAsia="宋体"/>
          <w:szCs w:val="24"/>
        </w:rPr>
        <w:t>署印</w:t>
      </w:r>
      <w:r>
        <w:rPr>
          <w:rFonts w:ascii="宋体" w:hAnsi="宋体" w:eastAsia="宋体"/>
          <w:szCs w:val="24"/>
        </w:rPr>
        <w:t>）并加盖公章，</w:t>
      </w:r>
      <w:r>
        <w:rPr>
          <w:rFonts w:hint="eastAsia" w:ascii="宋体" w:hAnsi="宋体" w:eastAsia="宋体"/>
          <w:szCs w:val="24"/>
        </w:rPr>
        <w:t>所有跟价格直接相关的页面均需由乙方的法定代表人或其委托代表人签字（或署印）。由委托代表人签字的，报价文件应附法定代表人签署的授权委托书。</w:t>
      </w:r>
      <w:r>
        <w:rPr>
          <w:rFonts w:ascii="宋体" w:hAnsi="宋体" w:eastAsia="宋体"/>
          <w:szCs w:val="24"/>
        </w:rPr>
        <w:t>正、副本逐份单独密封包装。包装封套上均应详细写明项目名称并贴封条和加盖公章，在截</w:t>
      </w:r>
      <w:r>
        <w:rPr>
          <w:rFonts w:hint="eastAsia" w:ascii="宋体" w:hAnsi="宋体" w:eastAsia="宋体"/>
          <w:szCs w:val="24"/>
        </w:rPr>
        <w:t>止报价</w:t>
      </w:r>
      <w:r>
        <w:rPr>
          <w:rFonts w:ascii="宋体" w:hAnsi="宋体" w:eastAsia="宋体"/>
          <w:szCs w:val="24"/>
        </w:rPr>
        <w:t>时间前投放到甲方指定的密封箱中。当正本与副本不一致时，以正本为准。</w:t>
      </w:r>
    </w:p>
    <w:p>
      <w:pPr>
        <w:numPr>
          <w:ilvl w:val="0"/>
          <w:numId w:val="2"/>
        </w:numPr>
        <w:spacing w:afterLines="50"/>
      </w:pPr>
      <w:r>
        <w:t>报价文件有效期为</w:t>
      </w:r>
      <w:r>
        <w:rPr>
          <w:rFonts w:hint="eastAsia"/>
        </w:rPr>
        <w:t>180</w:t>
      </w:r>
      <w:r>
        <w:t>天，从报价截止日期算起，在此期限内，报价文件的所有内容均保持有效。</w:t>
      </w:r>
    </w:p>
    <w:p>
      <w:pPr>
        <w:numPr>
          <w:ilvl w:val="0"/>
          <w:numId w:val="2"/>
        </w:numPr>
        <w:spacing w:afterLines="50"/>
      </w:pPr>
      <w:r>
        <w:t>发生下列情况时报价文件</w:t>
      </w:r>
      <w:r>
        <w:rPr>
          <w:rFonts w:hint="eastAsia"/>
        </w:rPr>
        <w:t>视为无效，甲方有权拒绝：</w:t>
      </w:r>
      <w:r>
        <w:t>逾期送达的、报价文件未经密封的、</w:t>
      </w:r>
      <w:r>
        <w:rPr>
          <w:rFonts w:hint="eastAsia"/>
        </w:rPr>
        <w:t>开启密封报价后未经甲方允许对报价的实质性内容（包含但不仅限于价格、付款方式、工期等）进行修改或者澄清的、有不正当竞争行为的。</w:t>
      </w:r>
    </w:p>
    <w:p>
      <w:pPr>
        <w:numPr>
          <w:ilvl w:val="0"/>
          <w:numId w:val="2"/>
        </w:numPr>
        <w:spacing w:afterLines="50"/>
      </w:pPr>
      <w:r>
        <w:rPr>
          <w:rFonts w:hint="eastAsia"/>
        </w:rPr>
        <w:t>在报价内容出现偏差时将按以下方法处理：</w:t>
      </w:r>
    </w:p>
    <w:p>
      <w:pPr>
        <w:pStyle w:val="19"/>
        <w:numPr>
          <w:ilvl w:val="1"/>
          <w:numId w:val="5"/>
        </w:numPr>
        <w:spacing w:afterLines="50"/>
        <w:ind w:left="681" w:hanging="624" w:firstLineChars="0"/>
        <w:rPr>
          <w:rFonts w:ascii="宋体" w:hAnsi="宋体" w:eastAsia="宋体"/>
          <w:szCs w:val="24"/>
        </w:rPr>
      </w:pPr>
      <w:r>
        <w:rPr>
          <w:rFonts w:hint="eastAsia" w:ascii="宋体" w:hAnsi="宋体" w:eastAsia="宋体"/>
          <w:szCs w:val="24"/>
        </w:rPr>
        <w:t>重大偏差：存有重大偏差的报价文件应被拒绝、重大偏差是指非实质性的响应，在公平对待其他乙方的前提下，不能通过修正或撤销不符之处而成为实质性响应的报价即被视为非实质性响应的报价。</w:t>
      </w:r>
    </w:p>
    <w:p>
      <w:pPr>
        <w:pStyle w:val="19"/>
        <w:numPr>
          <w:ilvl w:val="1"/>
          <w:numId w:val="5"/>
        </w:numPr>
        <w:spacing w:afterLines="50"/>
        <w:ind w:left="681" w:hanging="624" w:firstLineChars="0"/>
        <w:rPr>
          <w:rFonts w:ascii="宋体" w:hAnsi="宋体" w:eastAsia="宋体"/>
          <w:szCs w:val="24"/>
        </w:rPr>
      </w:pPr>
      <w:r>
        <w:rPr>
          <w:rFonts w:hint="eastAsia" w:ascii="宋体" w:hAnsi="宋体" w:eastAsia="宋体"/>
          <w:szCs w:val="24"/>
        </w:rPr>
        <w:t>细微偏差：存有细微偏差的报价文件不影响其有效性，细微偏差是指报价文件在实质上响应比质比价文件要求，但在个别地方存在漏项或提供了不完整的技术信息和数据等情况，并且在公平对待其他乙方的前提下，能够修正这些疏漏或不完整。</w:t>
      </w:r>
    </w:p>
    <w:p>
      <w:pPr>
        <w:numPr>
          <w:ilvl w:val="0"/>
          <w:numId w:val="2"/>
        </w:numPr>
        <w:spacing w:afterLines="50"/>
      </w:pPr>
      <w:bookmarkStart w:id="0" w:name="_Toc525287716"/>
      <w:bookmarkStart w:id="1" w:name="_Toc524940531"/>
      <w:bookmarkStart w:id="2" w:name="_Toc285213432"/>
      <w:bookmarkStart w:id="3" w:name="_Toc272415134"/>
      <w:bookmarkStart w:id="4" w:name="_Toc485039827"/>
      <w:r>
        <w:t>可</w:t>
      </w:r>
      <w:bookmarkEnd w:id="0"/>
      <w:bookmarkEnd w:id="1"/>
      <w:r>
        <w:t>选择方案</w:t>
      </w:r>
      <w:bookmarkEnd w:id="2"/>
      <w:bookmarkEnd w:id="3"/>
      <w:bookmarkEnd w:id="4"/>
    </w:p>
    <w:p>
      <w:pPr>
        <w:numPr>
          <w:ilvl w:val="1"/>
          <w:numId w:val="2"/>
        </w:numPr>
        <w:spacing w:afterLines="50"/>
        <w:ind w:left="720" w:hanging="720" w:hangingChars="300"/>
      </w:pPr>
      <w:r>
        <w:rPr>
          <w:rFonts w:hint="eastAsia"/>
        </w:rPr>
        <w:t>乙方提出的所有能对甲方产生经济效益或其它有利的方案建议—“可选择方案”是可被接受的。乙方必须在提供了完全满足合同条款和技术规格的报价文件的前提下，才可同时提供以上“可选择方案”的所有更改细节及价格。</w:t>
      </w:r>
    </w:p>
    <w:p>
      <w:pPr>
        <w:numPr>
          <w:ilvl w:val="1"/>
          <w:numId w:val="2"/>
        </w:numPr>
        <w:spacing w:afterLines="50"/>
        <w:ind w:left="720" w:hanging="720" w:hangingChars="300"/>
      </w:pPr>
      <w:r>
        <w:rPr>
          <w:rFonts w:hint="eastAsia"/>
        </w:rPr>
        <w:t>甲方</w:t>
      </w:r>
      <w:r>
        <w:t>没有义务接受任何</w:t>
      </w:r>
      <w:r>
        <w:rPr>
          <w:rFonts w:hint="eastAsia"/>
        </w:rPr>
        <w:t>“</w:t>
      </w:r>
      <w:r>
        <w:t>可选择方案</w:t>
      </w:r>
      <w:r>
        <w:rPr>
          <w:rFonts w:hint="eastAsia"/>
        </w:rPr>
        <w:t>”</w:t>
      </w:r>
      <w:r>
        <w:t>，而且将不对拒绝接受</w:t>
      </w:r>
      <w:r>
        <w:rPr>
          <w:rFonts w:hint="eastAsia"/>
        </w:rPr>
        <w:t>“</w:t>
      </w:r>
      <w:r>
        <w:t>可选择方案</w:t>
      </w:r>
      <w:r>
        <w:rPr>
          <w:rFonts w:hint="eastAsia"/>
        </w:rPr>
        <w:t>”</w:t>
      </w:r>
      <w:r>
        <w:t>进行解释。</w:t>
      </w:r>
    </w:p>
    <w:p>
      <w:pPr>
        <w:numPr>
          <w:ilvl w:val="1"/>
          <w:numId w:val="2"/>
        </w:numPr>
        <w:spacing w:afterLines="50"/>
        <w:ind w:left="720" w:hanging="720" w:hangingChars="300"/>
      </w:pPr>
      <w:r>
        <w:t>乙方必须做好与项目有关的保密工作，任何有关信息和资料，均不得向无关人员泄露。严禁乙方向参与比质比价、评比工作的有关人员行贿，使其泄露一切与比质比价、评比工作有关的信息。乙方在报价过程中严禁互相串通、结盟，</w:t>
      </w:r>
      <w:r>
        <w:rPr>
          <w:rFonts w:hint="eastAsia"/>
        </w:rPr>
        <w:t>破坏</w:t>
      </w:r>
      <w:r>
        <w:t>比质比价工作的公正性和竞争性，或以任何方式影响其它单位参与正</w:t>
      </w:r>
      <w:r>
        <w:rPr>
          <w:rFonts w:hint="eastAsia"/>
        </w:rPr>
        <w:t>常</w:t>
      </w:r>
      <w:r>
        <w:t>报价。</w:t>
      </w:r>
    </w:p>
    <w:p>
      <w:pPr>
        <w:numPr>
          <w:ilvl w:val="0"/>
          <w:numId w:val="2"/>
        </w:numPr>
        <w:spacing w:afterLines="50"/>
      </w:pPr>
      <w:r>
        <w:t>甲方采取综合评比的方式确定项目</w:t>
      </w:r>
      <w:r>
        <w:rPr>
          <w:rFonts w:hint="eastAsia"/>
        </w:rPr>
        <w:t>合作</w:t>
      </w:r>
      <w:r>
        <w:t>单位，并在确定项目</w:t>
      </w:r>
      <w:r>
        <w:rPr>
          <w:rFonts w:hint="eastAsia"/>
        </w:rPr>
        <w:t>合作</w:t>
      </w:r>
      <w:r>
        <w:t>单位</w:t>
      </w:r>
      <w:r>
        <w:rPr>
          <w:rFonts w:hint="eastAsia"/>
        </w:rPr>
        <w:t>5个工作日内</w:t>
      </w:r>
      <w:r>
        <w:t>发出</w:t>
      </w:r>
      <w:r>
        <w:rPr>
          <w:rFonts w:hint="eastAsia"/>
        </w:rPr>
        <w:t>书面项目合作</w:t>
      </w:r>
      <w:r>
        <w:t>通知书。</w:t>
      </w:r>
    </w:p>
    <w:p>
      <w:pPr>
        <w:spacing w:afterLines="50"/>
        <w:ind w:left="1075"/>
        <w:jc w:val="left"/>
        <w:rPr>
          <w:rFonts w:ascii="宋体" w:hAnsi="宋体" w:eastAsia="宋体"/>
          <w:szCs w:val="24"/>
        </w:rPr>
      </w:pPr>
      <w:r>
        <w:rPr>
          <w:rFonts w:hint="eastAsia" w:ascii="宋体" w:hAnsi="宋体" w:eastAsia="宋体"/>
          <w:szCs w:val="24"/>
        </w:rPr>
        <w:t>乙方</w:t>
      </w:r>
      <w:r>
        <w:rPr>
          <w:rFonts w:ascii="宋体" w:hAnsi="宋体" w:eastAsia="宋体"/>
          <w:szCs w:val="24"/>
        </w:rPr>
        <w:t>在接到</w:t>
      </w:r>
      <w:r>
        <w:rPr>
          <w:rFonts w:hint="eastAsia" w:ascii="宋体" w:hAnsi="宋体" w:eastAsia="宋体"/>
          <w:szCs w:val="24"/>
        </w:rPr>
        <w:t>甲方合作</w:t>
      </w:r>
      <w:r>
        <w:rPr>
          <w:rFonts w:ascii="宋体" w:hAnsi="宋体" w:eastAsia="宋体"/>
          <w:szCs w:val="24"/>
        </w:rPr>
        <w:t>通知后15</w:t>
      </w:r>
      <w:r>
        <w:rPr>
          <w:rFonts w:hint="eastAsia" w:ascii="宋体" w:hAnsi="宋体" w:eastAsia="宋体"/>
          <w:szCs w:val="24"/>
        </w:rPr>
        <w:t>个工作日</w:t>
      </w:r>
      <w:r>
        <w:rPr>
          <w:rFonts w:ascii="宋体" w:hAnsi="宋体" w:eastAsia="宋体"/>
          <w:szCs w:val="24"/>
        </w:rPr>
        <w:t>内与甲方签署合同，未在规定时间内与甲方签署合同</w:t>
      </w:r>
      <w:r>
        <w:rPr>
          <w:rFonts w:hint="eastAsia" w:ascii="宋体" w:hAnsi="宋体" w:eastAsia="宋体"/>
          <w:szCs w:val="24"/>
        </w:rPr>
        <w:t>的</w:t>
      </w:r>
      <w:r>
        <w:rPr>
          <w:rFonts w:ascii="宋体" w:hAnsi="宋体" w:eastAsia="宋体"/>
          <w:szCs w:val="24"/>
        </w:rPr>
        <w:t>，将被视为自动放弃本次项目</w:t>
      </w:r>
      <w:r>
        <w:rPr>
          <w:rFonts w:hint="eastAsia" w:ascii="宋体" w:hAnsi="宋体" w:eastAsia="宋体"/>
          <w:szCs w:val="24"/>
        </w:rPr>
        <w:t>，并承担相应的责任和赔偿。</w:t>
      </w:r>
      <w:r>
        <w:rPr>
          <w:rFonts w:ascii="宋体" w:hAnsi="宋体" w:eastAsia="宋体"/>
          <w:szCs w:val="24"/>
        </w:rPr>
        <w:t>甲方将可选择其他参与报价</w:t>
      </w:r>
      <w:r>
        <w:rPr>
          <w:rFonts w:hint="eastAsia" w:ascii="宋体" w:hAnsi="宋体" w:eastAsia="宋体"/>
          <w:szCs w:val="24"/>
        </w:rPr>
        <w:t>的</w:t>
      </w:r>
      <w:r>
        <w:rPr>
          <w:rFonts w:ascii="宋体" w:hAnsi="宋体" w:eastAsia="宋体"/>
          <w:szCs w:val="24"/>
        </w:rPr>
        <w:t>单位为</w:t>
      </w:r>
      <w:r>
        <w:rPr>
          <w:rFonts w:hint="eastAsia" w:ascii="宋体" w:hAnsi="宋体" w:eastAsia="宋体"/>
          <w:szCs w:val="24"/>
        </w:rPr>
        <w:t>乙方</w:t>
      </w:r>
      <w:r>
        <w:rPr>
          <w:rFonts w:ascii="宋体" w:hAnsi="宋体" w:eastAsia="宋体"/>
          <w:szCs w:val="24"/>
        </w:rPr>
        <w:t>。</w:t>
      </w:r>
    </w:p>
    <w:p>
      <w:pPr>
        <w:numPr>
          <w:ilvl w:val="0"/>
          <w:numId w:val="2"/>
        </w:numPr>
        <w:spacing w:afterLines="50"/>
      </w:pPr>
      <w:r>
        <w:t>所有与本比质比价文件有关的函电请按下列通讯地址联系</w:t>
      </w:r>
      <w:r>
        <w:rPr>
          <w:rFonts w:hint="eastAsia"/>
        </w:rPr>
        <w:t>：</w:t>
      </w:r>
    </w:p>
    <w:p>
      <w:pPr>
        <w:spacing w:afterLines="50"/>
        <w:ind w:left="240" w:leftChars="100"/>
        <w:jc w:val="left"/>
        <w:rPr>
          <w:rFonts w:hint="eastAsia" w:ascii="宋体" w:hAnsi="宋体" w:eastAsia="宋体"/>
          <w:bCs/>
          <w:szCs w:val="24"/>
          <w:lang w:eastAsia="zh-CN"/>
        </w:rPr>
      </w:pPr>
      <w:r>
        <w:rPr>
          <w:rFonts w:ascii="宋体" w:hAnsi="宋体" w:eastAsia="宋体"/>
          <w:bCs/>
          <w:szCs w:val="24"/>
        </w:rPr>
        <w:t>地      址：</w:t>
      </w:r>
      <w:r>
        <w:rPr>
          <w:rFonts w:hint="eastAsia" w:ascii="宋体" w:hAnsi="宋体" w:eastAsia="宋体"/>
          <w:bCs/>
          <w:szCs w:val="24"/>
        </w:rPr>
        <w:t>广州经济技术开发区黄埔新港路1号广州集装箱码头有限公司二楼</w:t>
      </w:r>
      <w:r>
        <w:rPr>
          <w:rFonts w:hint="eastAsia" w:ascii="宋体" w:hAnsi="宋体" w:eastAsia="宋体"/>
          <w:bCs/>
          <w:szCs w:val="24"/>
          <w:lang w:eastAsia="zh-CN"/>
        </w:rPr>
        <w:t>采购科</w:t>
      </w:r>
    </w:p>
    <w:p>
      <w:pPr>
        <w:spacing w:afterLines="50"/>
        <w:ind w:left="240" w:leftChars="100"/>
        <w:jc w:val="left"/>
        <w:rPr>
          <w:rFonts w:hint="eastAsia" w:ascii="宋体" w:hAnsi="宋体" w:eastAsia="宋体"/>
          <w:bCs/>
          <w:szCs w:val="24"/>
          <w:lang w:eastAsia="zh-CN"/>
        </w:rPr>
      </w:pPr>
      <w:r>
        <w:rPr>
          <w:rFonts w:ascii="宋体" w:hAnsi="宋体" w:eastAsia="宋体"/>
          <w:bCs/>
          <w:szCs w:val="24"/>
        </w:rPr>
        <w:t>联  系  人：</w:t>
      </w:r>
      <w:r>
        <w:rPr>
          <w:rFonts w:hint="eastAsia" w:ascii="宋体" w:hAnsi="宋体" w:eastAsia="宋体"/>
          <w:bCs/>
          <w:szCs w:val="24"/>
          <w:lang w:eastAsia="zh-CN"/>
        </w:rPr>
        <w:t>范艺</w:t>
      </w:r>
    </w:p>
    <w:p>
      <w:pPr>
        <w:spacing w:afterLines="50"/>
        <w:ind w:left="240" w:leftChars="100"/>
        <w:jc w:val="left"/>
        <w:rPr>
          <w:rFonts w:hint="default" w:ascii="宋体" w:hAnsi="宋体" w:eastAsia="宋体"/>
          <w:bCs/>
          <w:szCs w:val="24"/>
          <w:lang w:val="en-US" w:eastAsia="zh-CN"/>
        </w:rPr>
      </w:pPr>
      <w:r>
        <w:rPr>
          <w:rFonts w:ascii="宋体" w:hAnsi="宋体" w:eastAsia="宋体"/>
          <w:bCs/>
          <w:szCs w:val="24"/>
        </w:rPr>
        <w:t>电话及传真：020-822</w:t>
      </w:r>
      <w:r>
        <w:rPr>
          <w:rFonts w:hint="eastAsia" w:ascii="宋体" w:hAnsi="宋体" w:eastAsia="宋体"/>
          <w:bCs/>
          <w:szCs w:val="24"/>
        </w:rPr>
        <w:t>56</w:t>
      </w:r>
      <w:r>
        <w:rPr>
          <w:rFonts w:hint="eastAsia" w:ascii="宋体" w:hAnsi="宋体" w:eastAsia="宋体"/>
          <w:bCs/>
          <w:szCs w:val="24"/>
          <w:lang w:val="en-US" w:eastAsia="zh-CN"/>
        </w:rPr>
        <w:t>225</w:t>
      </w:r>
    </w:p>
    <w:p>
      <w:pPr>
        <w:spacing w:afterLines="50"/>
        <w:ind w:left="240" w:leftChars="100"/>
        <w:jc w:val="left"/>
        <w:rPr>
          <w:rFonts w:ascii="宋体" w:hAnsi="宋体" w:eastAsia="宋体"/>
          <w:bCs/>
          <w:szCs w:val="24"/>
        </w:rPr>
      </w:pPr>
      <w:r>
        <w:rPr>
          <w:rFonts w:ascii="宋体" w:hAnsi="宋体" w:eastAsia="宋体"/>
          <w:bCs/>
          <w:szCs w:val="24"/>
        </w:rPr>
        <w:t>邮 箱 地址：</w:t>
      </w:r>
      <w:r>
        <w:rPr>
          <w:rFonts w:hint="eastAsia" w:ascii="宋体" w:hAnsi="宋体" w:eastAsia="宋体"/>
          <w:bCs/>
          <w:szCs w:val="24"/>
          <w:lang w:val="en-US" w:eastAsia="zh-CN"/>
        </w:rPr>
        <w:t>yifan</w:t>
      </w:r>
      <w:r>
        <w:rPr>
          <w:rFonts w:hint="eastAsia" w:ascii="宋体" w:hAnsi="宋体" w:eastAsia="宋体"/>
          <w:bCs/>
          <w:szCs w:val="24"/>
        </w:rPr>
        <w:t>@gct.com.cn</w:t>
      </w:r>
    </w:p>
    <w:p>
      <w:pPr>
        <w:pStyle w:val="12"/>
        <w:spacing w:afterLines="50"/>
        <w:ind w:left="480" w:firstLine="28"/>
        <w:rPr>
          <w:rFonts w:ascii="宋体" w:hAnsi="宋体" w:eastAsia="宋体"/>
          <w:bCs/>
          <w:szCs w:val="24"/>
        </w:rPr>
      </w:pPr>
      <w:r>
        <w:rPr>
          <w:rFonts w:ascii="宋体" w:hAnsi="宋体" w:eastAsia="宋体"/>
          <w:bCs/>
          <w:szCs w:val="24"/>
        </w:rPr>
        <w:t>谨祝</w:t>
      </w:r>
    </w:p>
    <w:p>
      <w:pPr>
        <w:pStyle w:val="12"/>
        <w:spacing w:afterLines="50"/>
        <w:ind w:left="480" w:firstLine="868" w:firstLineChars="310"/>
        <w:rPr>
          <w:rFonts w:ascii="宋体" w:hAnsi="宋体" w:eastAsia="宋体"/>
          <w:szCs w:val="24"/>
        </w:rPr>
      </w:pPr>
      <w:r>
        <w:rPr>
          <w:rFonts w:ascii="宋体" w:hAnsi="宋体" w:eastAsia="宋体"/>
          <w:bCs/>
          <w:szCs w:val="24"/>
        </w:rPr>
        <w:t>商祺</w:t>
      </w:r>
    </w:p>
    <w:tbl>
      <w:tblPr>
        <w:tblStyle w:val="16"/>
        <w:tblW w:w="2880" w:type="dxa"/>
        <w:tblInd w:w="108"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880" w:type="dxa"/>
          </w:tcPr>
          <w:p>
            <w:pPr>
              <w:spacing w:after="50"/>
              <w:jc w:val="center"/>
              <w:rPr>
                <w:rFonts w:ascii="宋体" w:hAnsi="宋体" w:eastAsia="宋体"/>
                <w:bCs/>
                <w:szCs w:val="24"/>
              </w:rPr>
            </w:pPr>
            <w:r>
              <w:rPr>
                <w:rFonts w:ascii="宋体" w:hAnsi="宋体" w:eastAsia="宋体"/>
                <w:bCs/>
                <w:szCs w:val="24"/>
              </w:rPr>
              <w:t>广州鼎胜物流有限公司</w:t>
            </w:r>
          </w:p>
        </w:tc>
      </w:tr>
    </w:tbl>
    <w:p>
      <w:pPr>
        <w:spacing w:afterLines="50"/>
        <w:ind w:left="680"/>
        <w:rPr>
          <w:rFonts w:ascii="宋体" w:hAnsi="宋体" w:eastAsia="宋体"/>
          <w:szCs w:val="24"/>
        </w:rPr>
      </w:pPr>
    </w:p>
    <w:p>
      <w:pPr>
        <w:spacing w:afterLines="50"/>
        <w:jc w:val="center"/>
      </w:pPr>
    </w:p>
    <w:p>
      <w:pPr>
        <w:numPr>
          <w:ilvl w:val="0"/>
          <w:numId w:val="7"/>
        </w:numPr>
        <w:spacing w:beforeLines="50"/>
        <w:jc w:val="center"/>
        <w:rPr>
          <w:rFonts w:ascii="宋体" w:hAnsi="宋体" w:eastAsia="宋体"/>
          <w:b/>
          <w:szCs w:val="24"/>
        </w:rPr>
      </w:pPr>
      <w:r>
        <w:rPr>
          <w:rFonts w:eastAsia="仿宋_GB2312"/>
        </w:rPr>
        <w:br w:type="page"/>
      </w:r>
      <w:r>
        <w:rPr>
          <w:rFonts w:hint="eastAsia" w:ascii="宋体" w:hAnsi="宋体" w:eastAsia="宋体"/>
          <w:b/>
          <w:szCs w:val="24"/>
        </w:rPr>
        <w:t xml:space="preserve"> GPL牵引车及半挂车基本情况及一保要求</w:t>
      </w:r>
    </w:p>
    <w:p>
      <w:pPr>
        <w:numPr>
          <w:ilvl w:val="0"/>
          <w:numId w:val="8"/>
        </w:numPr>
        <w:spacing w:beforeLines="50"/>
        <w:rPr>
          <w:rFonts w:ascii="宋体" w:hAnsi="宋体" w:eastAsia="宋体"/>
          <w:b/>
          <w:szCs w:val="24"/>
        </w:rPr>
      </w:pPr>
      <w:r>
        <w:rPr>
          <w:rFonts w:hint="eastAsia" w:ascii="宋体" w:hAnsi="宋体" w:eastAsia="宋体"/>
          <w:b/>
          <w:szCs w:val="24"/>
        </w:rPr>
        <w:t>牵引车及半挂车基本情况</w:t>
      </w:r>
    </w:p>
    <w:tbl>
      <w:tblPr>
        <w:tblStyle w:val="16"/>
        <w:tblW w:w="10671" w:type="dxa"/>
        <w:jc w:val="center"/>
        <w:tblInd w:w="93" w:type="dxa"/>
        <w:tblLayout w:type="fixed"/>
        <w:tblCellMar>
          <w:top w:w="0" w:type="dxa"/>
          <w:left w:w="0" w:type="dxa"/>
          <w:bottom w:w="0" w:type="dxa"/>
          <w:right w:w="0" w:type="dxa"/>
        </w:tblCellMar>
      </w:tblPr>
      <w:tblGrid>
        <w:gridCol w:w="560"/>
        <w:gridCol w:w="1098"/>
        <w:gridCol w:w="954"/>
        <w:gridCol w:w="584"/>
        <w:gridCol w:w="668"/>
        <w:gridCol w:w="837"/>
        <w:gridCol w:w="2269"/>
        <w:gridCol w:w="1434"/>
        <w:gridCol w:w="2267"/>
      </w:tblGrid>
      <w:tr>
        <w:tblPrEx>
          <w:tblLayout w:type="fixed"/>
          <w:tblCellMar>
            <w:top w:w="0" w:type="dxa"/>
            <w:left w:w="0" w:type="dxa"/>
            <w:bottom w:w="0" w:type="dxa"/>
            <w:right w:w="0" w:type="dxa"/>
          </w:tblCellMar>
        </w:tblPrEx>
        <w:trPr>
          <w:trHeight w:val="555" w:hRule="atLeast"/>
          <w:jc w:val="center"/>
        </w:trPr>
        <w:tc>
          <w:tcPr>
            <w:tcW w:w="560" w:type="dxa"/>
            <w:tcBorders>
              <w:top w:val="single" w:color="auto" w:sz="8" w:space="0"/>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1098"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号牌</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号码</w:t>
            </w:r>
          </w:p>
        </w:tc>
        <w:tc>
          <w:tcPr>
            <w:tcW w:w="954"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登记</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日期</w:t>
            </w:r>
          </w:p>
        </w:tc>
        <w:tc>
          <w:tcPr>
            <w:tcW w:w="584"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车辆类型</w:t>
            </w:r>
          </w:p>
        </w:tc>
        <w:tc>
          <w:tcPr>
            <w:tcW w:w="668"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核定人数</w:t>
            </w:r>
          </w:p>
        </w:tc>
        <w:tc>
          <w:tcPr>
            <w:tcW w:w="837"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吨位</w:t>
            </w:r>
          </w:p>
        </w:tc>
        <w:tc>
          <w:tcPr>
            <w:tcW w:w="2269"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品牌 型号</w:t>
            </w:r>
          </w:p>
        </w:tc>
        <w:tc>
          <w:tcPr>
            <w:tcW w:w="1434"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发动机号码</w:t>
            </w:r>
          </w:p>
        </w:tc>
        <w:tc>
          <w:tcPr>
            <w:tcW w:w="2267"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车辆识别代号/车架号</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粤A</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P6455</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2014.11</w:t>
            </w:r>
          </w:p>
        </w:tc>
        <w:tc>
          <w:tcPr>
            <w:tcW w:w="584" w:type="dxa"/>
            <w:vMerge w:val="restart"/>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重</w:t>
            </w:r>
          </w:p>
          <w:p>
            <w:pPr>
              <w:spacing w:after="50"/>
              <w:jc w:val="center"/>
              <w:rPr>
                <w:rFonts w:cs="宋体" w:asciiTheme="minorEastAsia" w:hAnsiTheme="minorEastAsia" w:eastAsiaTheme="minorEastAsia"/>
                <w:szCs w:val="24"/>
              </w:rPr>
            </w:pPr>
            <w:r>
              <w:rPr>
                <w:rFonts w:hint="eastAsia" w:asciiTheme="minorEastAsia" w:hAnsiTheme="minorEastAsia" w:eastAsiaTheme="minorEastAsia"/>
                <w:szCs w:val="24"/>
              </w:rPr>
              <w:t>型</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半</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挂</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牵</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引</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车</w:t>
            </w: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华菱之星HN4181B34C4M4</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1614S138122</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LZ5N4CB19EB013361</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粤A</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P6458</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2014.11</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华菱之星HN4181B34C4M4</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1614S138109</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LZ5N4CB17EB013360</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粤A</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P6459</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2014.11</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华菱之星HN4181B34C4M4</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1614S138142</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LZ5N4CB10EB013359</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粤A</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W7149</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2015.6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华菱之星HN4181C34C4M4</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1615A011866</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LZ5N4CB12FB003966</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粤A</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W7392</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2015.6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华菱之星HN4181C34C4M4</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1615A011887</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LZ5N4CB10FB003965</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粤AAN31挂</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2017.6</w:t>
            </w:r>
          </w:p>
        </w:tc>
        <w:tc>
          <w:tcPr>
            <w:tcW w:w="584" w:type="dxa"/>
            <w:vMerge w:val="restart"/>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重</w:t>
            </w:r>
          </w:p>
          <w:p>
            <w:pPr>
              <w:spacing w:after="50"/>
              <w:jc w:val="center"/>
              <w:rPr>
                <w:rFonts w:cs="宋体" w:asciiTheme="minorEastAsia" w:hAnsiTheme="minorEastAsia" w:eastAsiaTheme="minorEastAsia"/>
                <w:szCs w:val="24"/>
              </w:rPr>
            </w:pPr>
            <w:r>
              <w:rPr>
                <w:rFonts w:hint="eastAsia" w:asciiTheme="minorEastAsia" w:hAnsiTheme="minorEastAsia" w:eastAsiaTheme="minorEastAsia"/>
                <w:szCs w:val="24"/>
              </w:rPr>
              <w:t>型</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集</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装</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箱</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半</w:t>
            </w:r>
          </w:p>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挂</w:t>
            </w:r>
          </w:p>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车</w:t>
            </w: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中集牌ZJV9400TJZ</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LJRC12383H1030261</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粤AAP59挂</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ind w:left="163" w:hanging="50"/>
              <w:jc w:val="center"/>
              <w:rPr>
                <w:rFonts w:asciiTheme="minorEastAsia" w:hAnsiTheme="minorEastAsia" w:eastAsiaTheme="minorEastAsia"/>
                <w:szCs w:val="24"/>
              </w:rPr>
            </w:pPr>
            <w:r>
              <w:rPr>
                <w:rFonts w:hint="eastAsia" w:asciiTheme="minorEastAsia" w:hAnsiTheme="minorEastAsia" w:eastAsiaTheme="minorEastAsia"/>
                <w:szCs w:val="24"/>
              </w:rPr>
              <w:t>2017.6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中集牌ZJV9400TJZ</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ind w:left="163" w:hanging="50"/>
              <w:jc w:val="center"/>
              <w:rPr>
                <w:rFonts w:asciiTheme="minorEastAsia" w:hAnsiTheme="minorEastAsia" w:eastAsiaTheme="minorEastAsia"/>
                <w:szCs w:val="24"/>
              </w:rPr>
            </w:pPr>
            <w:r>
              <w:rPr>
                <w:rFonts w:hint="eastAsia" w:asciiTheme="minorEastAsia" w:hAnsiTheme="minorEastAsia" w:eastAsiaTheme="minorEastAsia"/>
                <w:szCs w:val="24"/>
              </w:rPr>
              <w:t>LJRC12385H1030262</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bottom"/>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粤AAP68挂</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2017.6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中集牌ZJV9400TJZ</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LJRC12387H1030263</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bottom"/>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粤AAP69挂</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2017.6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中集牌ZJV9400TJZ</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LJRC12385H1030259</w:t>
            </w:r>
          </w:p>
        </w:tc>
      </w:tr>
      <w:tr>
        <w:tblPrEx>
          <w:tblLayout w:type="fixed"/>
          <w:tblCellMar>
            <w:top w:w="0" w:type="dxa"/>
            <w:left w:w="0" w:type="dxa"/>
            <w:bottom w:w="0" w:type="dxa"/>
            <w:right w:w="0" w:type="dxa"/>
          </w:tblCellMar>
        </w:tblPrEx>
        <w:trPr>
          <w:trHeight w:val="555" w:hRule="atLeast"/>
          <w:jc w:val="center"/>
        </w:trPr>
        <w:tc>
          <w:tcPr>
            <w:tcW w:w="560"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098" w:type="dxa"/>
            <w:tcBorders>
              <w:top w:val="nil"/>
              <w:left w:val="nil"/>
              <w:bottom w:val="single" w:color="auto" w:sz="8" w:space="0"/>
              <w:right w:val="single" w:color="auto" w:sz="8" w:space="0"/>
            </w:tcBorders>
            <w:noWrap/>
            <w:tcMar>
              <w:top w:w="0" w:type="dxa"/>
              <w:left w:w="57" w:type="dxa"/>
              <w:bottom w:w="0" w:type="dxa"/>
              <w:right w:w="57" w:type="dxa"/>
            </w:tcMar>
            <w:vAlign w:val="bottom"/>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粤AAP30挂</w:t>
            </w:r>
          </w:p>
        </w:tc>
        <w:tc>
          <w:tcPr>
            <w:tcW w:w="95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2017.6</w:t>
            </w:r>
          </w:p>
        </w:tc>
        <w:tc>
          <w:tcPr>
            <w:tcW w:w="584" w:type="dxa"/>
            <w:vMerge w:val="continue"/>
            <w:tcBorders>
              <w:top w:val="nil"/>
              <w:left w:val="nil"/>
              <w:bottom w:val="single" w:color="auto" w:sz="8" w:space="0"/>
              <w:right w:val="single" w:color="auto" w:sz="8" w:space="0"/>
            </w:tcBorders>
            <w:tcMar>
              <w:top w:w="0" w:type="dxa"/>
              <w:left w:w="57" w:type="dxa"/>
              <w:bottom w:w="0" w:type="dxa"/>
              <w:right w:w="57" w:type="dxa"/>
            </w:tcMar>
            <w:vAlign w:val="center"/>
          </w:tcPr>
          <w:p>
            <w:pPr>
              <w:spacing w:after="50"/>
              <w:rPr>
                <w:rFonts w:asciiTheme="minorEastAsia" w:hAnsiTheme="minorEastAsia" w:eastAsiaTheme="minorEastAsia"/>
                <w:szCs w:val="24"/>
              </w:rPr>
            </w:pPr>
          </w:p>
        </w:tc>
        <w:tc>
          <w:tcPr>
            <w:tcW w:w="66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83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33.5</w:t>
            </w:r>
          </w:p>
        </w:tc>
        <w:tc>
          <w:tcPr>
            <w:tcW w:w="2269"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中集牌ZJV9400TJZ</w:t>
            </w:r>
          </w:p>
        </w:tc>
        <w:tc>
          <w:tcPr>
            <w:tcW w:w="143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　</w:t>
            </w:r>
          </w:p>
        </w:tc>
        <w:tc>
          <w:tcPr>
            <w:tcW w:w="226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spacing w:before="100" w:beforeAutospacing="1" w:after="50"/>
              <w:jc w:val="center"/>
              <w:rPr>
                <w:rFonts w:asciiTheme="minorEastAsia" w:hAnsiTheme="minorEastAsia" w:eastAsiaTheme="minorEastAsia"/>
                <w:szCs w:val="24"/>
              </w:rPr>
            </w:pPr>
            <w:r>
              <w:rPr>
                <w:rFonts w:hint="eastAsia" w:asciiTheme="minorEastAsia" w:hAnsiTheme="minorEastAsia" w:eastAsiaTheme="minorEastAsia"/>
                <w:szCs w:val="24"/>
              </w:rPr>
              <w:t>LJRC12381H1030260</w:t>
            </w:r>
          </w:p>
        </w:tc>
      </w:tr>
    </w:tbl>
    <w:p>
      <w:pPr>
        <w:spacing w:after="50"/>
      </w:pPr>
    </w:p>
    <w:p>
      <w:pPr>
        <w:numPr>
          <w:ilvl w:val="0"/>
          <w:numId w:val="8"/>
        </w:numPr>
        <w:spacing w:beforeLines="50"/>
      </w:pPr>
      <w:r>
        <w:rPr>
          <w:rFonts w:hint="eastAsia"/>
        </w:rPr>
        <w:t>牵引车及半挂车一保项目及要求</w:t>
      </w:r>
    </w:p>
    <w:tbl>
      <w:tblPr>
        <w:tblStyle w:val="16"/>
        <w:tblW w:w="9962" w:type="dxa"/>
        <w:tblInd w:w="-448" w:type="dxa"/>
        <w:tblLayout w:type="fixed"/>
        <w:tblCellMar>
          <w:top w:w="0" w:type="dxa"/>
          <w:left w:w="0" w:type="dxa"/>
          <w:bottom w:w="0" w:type="dxa"/>
          <w:right w:w="0" w:type="dxa"/>
        </w:tblCellMar>
      </w:tblPr>
      <w:tblGrid>
        <w:gridCol w:w="550"/>
        <w:gridCol w:w="9412"/>
      </w:tblGrid>
      <w:tr>
        <w:tblPrEx>
          <w:tblLayout w:type="fixed"/>
          <w:tblCellMar>
            <w:top w:w="0" w:type="dxa"/>
            <w:left w:w="0" w:type="dxa"/>
            <w:bottom w:w="0" w:type="dxa"/>
            <w:right w:w="0" w:type="dxa"/>
          </w:tblCellMar>
        </w:tblPrEx>
        <w:trPr>
          <w:trHeight w:val="262" w:hRule="atLeast"/>
          <w:tblHead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序号</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项目及要求</w:t>
            </w:r>
          </w:p>
        </w:tc>
      </w:tr>
      <w:tr>
        <w:tblPrEx>
          <w:tblLayout w:type="fixed"/>
          <w:tblCellMar>
            <w:top w:w="0" w:type="dxa"/>
            <w:left w:w="0" w:type="dxa"/>
            <w:bottom w:w="0" w:type="dxa"/>
            <w:right w:w="0" w:type="dxa"/>
          </w:tblCellMar>
        </w:tblPrEx>
        <w:trPr>
          <w:trHeight w:val="262"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将车辆冲洗干净，整机外表、散热器外表、发动机及底盘擦拭后无油垢及泥垢</w:t>
            </w:r>
          </w:p>
        </w:tc>
      </w:tr>
      <w:tr>
        <w:tblPrEx>
          <w:tblLayout w:type="fixed"/>
          <w:tblCellMar>
            <w:top w:w="0" w:type="dxa"/>
            <w:left w:w="0" w:type="dxa"/>
            <w:bottom w:w="0" w:type="dxa"/>
            <w:right w:w="0" w:type="dxa"/>
          </w:tblCellMar>
        </w:tblPrEx>
        <w:trPr>
          <w:trHeight w:val="76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2</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清洁发动机机油、柴油、空气滤请器，清除空气滤芯上的灰尘，排除各滤清器中的沉积物，排除贮器筒内的油水及污物。</w:t>
            </w:r>
          </w:p>
        </w:tc>
      </w:tr>
      <w:tr>
        <w:tblPrEx>
          <w:tblLayout w:type="fixed"/>
          <w:tblCellMar>
            <w:top w:w="0" w:type="dxa"/>
            <w:left w:w="0" w:type="dxa"/>
            <w:bottom w:w="0" w:type="dxa"/>
            <w:right w:w="0"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3</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定期更换 机油滤请器、柴油滤请器、空气滤请器及空气干燥器。</w:t>
            </w:r>
          </w:p>
        </w:tc>
      </w:tr>
      <w:tr>
        <w:tblPrEx>
          <w:tblLayout w:type="fixed"/>
          <w:tblCellMar>
            <w:top w:w="0" w:type="dxa"/>
            <w:left w:w="0" w:type="dxa"/>
            <w:bottom w:w="0" w:type="dxa"/>
            <w:right w:w="0" w:type="dxa"/>
          </w:tblCellMar>
        </w:tblPrEx>
        <w:trPr>
          <w:trHeight w:val="3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4</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检查散热器、水泵及水管是否松动和渗漏。</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5</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检查发动机、变速器、驱动桥、方向机各润滑油油量，不足添加，使其润滑油面至标准部位。</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6</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定期更换机油、变速箱齿轮油、驱动桥齿轮油、方向机油</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7</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检查方向机及方向助力油缸是否漏油，检查方向拉杆和尚头松紧度，方向机动作是否轻灵</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8</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检查润滑水泵、转向拉杆球头销、离合器踏板支架销、转动轴、前后钢板弹簧销及车门等各润滑部位，按车辆使用说明书规定的润滑点进行全车润滑，并配齐各润滑点的油嘴。</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9</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检查并紧固发动机、底盘、车架、车身内外部的连接螺栓与螺母，各锁紧装置应按规定的规格数量配备齐全，紧固可靠。</w:t>
            </w:r>
          </w:p>
        </w:tc>
      </w:tr>
      <w:tr>
        <w:tblPrEx>
          <w:tblLayout w:type="fixed"/>
          <w:tblCellMar>
            <w:top w:w="0" w:type="dxa"/>
            <w:left w:w="0" w:type="dxa"/>
            <w:bottom w:w="0" w:type="dxa"/>
            <w:right w:w="0" w:type="dxa"/>
          </w:tblCellMar>
        </w:tblPrEx>
        <w:trPr>
          <w:trHeight w:val="27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10</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Style w:val="33"/>
                <w:rFonts w:hint="default" w:asciiTheme="minorEastAsia" w:hAnsiTheme="minorEastAsia" w:eastAsiaTheme="minorEastAsia" w:cstheme="minorEastAsia"/>
                <w:color w:val="auto"/>
                <w:sz w:val="24"/>
                <w:szCs w:val="24"/>
              </w:rPr>
              <w:t>检查并紧固各钢板弹簧</w:t>
            </w:r>
            <w:r>
              <w:rPr>
                <w:rStyle w:val="34"/>
                <w:rFonts w:hint="eastAsia" w:asciiTheme="minorEastAsia" w:hAnsiTheme="minorEastAsia" w:eastAsiaTheme="minorEastAsia" w:cstheme="minorEastAsia"/>
                <w:color w:val="auto"/>
                <w:sz w:val="24"/>
                <w:szCs w:val="24"/>
              </w:rPr>
              <w:t>U</w:t>
            </w:r>
            <w:r>
              <w:rPr>
                <w:rStyle w:val="33"/>
                <w:rFonts w:hint="default" w:asciiTheme="minorEastAsia" w:hAnsiTheme="minorEastAsia" w:eastAsiaTheme="minorEastAsia" w:cstheme="minorEastAsia"/>
                <w:color w:val="auto"/>
                <w:sz w:val="24"/>
                <w:szCs w:val="24"/>
              </w:rPr>
              <w:t>型螺栓、变速器、传动轴、主减速器及半轴各连接螺栓有无松脱。</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11</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检查并调整风扇皮带、空调压缩机、发电机等皮带的松紧度。</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12</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检查和调整离合器踏板、制动踏板的自由行程、方向盘的游隙，检查前轮轴承、转向节是否磨损；检查各调整拉杆的连接情况。</w:t>
            </w:r>
          </w:p>
        </w:tc>
      </w:tr>
      <w:tr>
        <w:tblPrEx>
          <w:tblLayout w:type="fixed"/>
          <w:tblCellMar>
            <w:top w:w="0" w:type="dxa"/>
            <w:left w:w="0" w:type="dxa"/>
            <w:bottom w:w="0" w:type="dxa"/>
            <w:right w:w="0" w:type="dxa"/>
          </w:tblCellMar>
        </w:tblPrEx>
        <w:trPr>
          <w:trHeight w:val="104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13</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Style w:val="33"/>
                <w:rFonts w:hint="default" w:asciiTheme="minorEastAsia" w:hAnsiTheme="minorEastAsia" w:eastAsiaTheme="minorEastAsia" w:cstheme="minorEastAsia"/>
                <w:color w:val="auto"/>
                <w:sz w:val="24"/>
                <w:szCs w:val="24"/>
              </w:rPr>
              <w:t>检查大灯、制动灯、转向灯、喇叭等照明和信号设备、仪表及电器设备如发电机、起动机、雨刮等工作是否正常；电路无破损，护套完好，接线牢固，保险丝安装匹配；检查蓄电池液面高度和外壳是否渗漏，气孔是否通畅、蓄电池加注孔螺塞应齐全等，电解液应高出极板</w:t>
            </w:r>
            <w:r>
              <w:rPr>
                <w:rStyle w:val="34"/>
                <w:rFonts w:hint="eastAsia" w:asciiTheme="minorEastAsia" w:hAnsiTheme="minorEastAsia" w:eastAsiaTheme="minorEastAsia" w:cstheme="minorEastAsia"/>
                <w:color w:val="auto"/>
                <w:sz w:val="24"/>
                <w:szCs w:val="24"/>
              </w:rPr>
              <w:t>10~15mm</w:t>
            </w:r>
            <w:r>
              <w:rPr>
                <w:rStyle w:val="33"/>
                <w:rFonts w:hint="default" w:asciiTheme="minorEastAsia" w:hAnsiTheme="minorEastAsia" w:eastAsiaTheme="minorEastAsia" w:cstheme="minorEastAsia"/>
                <w:color w:val="auto"/>
                <w:sz w:val="24"/>
                <w:szCs w:val="24"/>
              </w:rPr>
              <w:t>，若不足添加蒸馏水，</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14</w:t>
            </w:r>
          </w:p>
        </w:tc>
        <w:tc>
          <w:tcPr>
            <w:tcW w:w="9412"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检查轮胎外表、轮胎气压情况并充气。</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15</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检查发动机，倾听发动机怠速、中速和高速运转情况，是否有杂音及异响，检查发动机烟色是否正常。</w:t>
            </w:r>
          </w:p>
        </w:tc>
      </w:tr>
      <w:tr>
        <w:tblPrEx>
          <w:tblLayout w:type="fixed"/>
          <w:tblCellMar>
            <w:top w:w="0" w:type="dxa"/>
            <w:left w:w="0" w:type="dxa"/>
            <w:bottom w:w="0" w:type="dxa"/>
            <w:right w:w="0" w:type="dxa"/>
          </w:tblCellMar>
        </w:tblPrEx>
        <w:trPr>
          <w:trHeight w:val="26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16</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检查变速箱、差速箱是否有异响。</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17</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检查金属结构是否断裂、变形；半挂车主梁及横梁有无变形，锁头是否完整有效；钢板弹簧是否断裂</w:t>
            </w:r>
          </w:p>
        </w:tc>
      </w:tr>
      <w:tr>
        <w:tblPrEx>
          <w:tblLayout w:type="fixed"/>
          <w:tblCellMar>
            <w:top w:w="0" w:type="dxa"/>
            <w:left w:w="0" w:type="dxa"/>
            <w:bottom w:w="0" w:type="dxa"/>
            <w:right w:w="0" w:type="dxa"/>
          </w:tblCellMar>
        </w:tblPrEx>
        <w:trPr>
          <w:trHeight w:val="49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18</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检查刹车系统工作情况，管道及贮气筒、制动阀、刹车总泵、刹车分泵、ABS执行器工作情况，是否漏风。检查牵引车及半挂车的制动性能是否正常有效。</w:t>
            </w:r>
          </w:p>
        </w:tc>
      </w:tr>
      <w:tr>
        <w:tblPrEx>
          <w:tblLayout w:type="fixed"/>
          <w:tblCellMar>
            <w:top w:w="0" w:type="dxa"/>
            <w:left w:w="0" w:type="dxa"/>
            <w:bottom w:w="0" w:type="dxa"/>
            <w:right w:w="0" w:type="dxa"/>
          </w:tblCellMar>
        </w:tblPrEx>
        <w:trPr>
          <w:trHeight w:val="91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19</w:t>
            </w:r>
          </w:p>
        </w:tc>
        <w:tc>
          <w:tcPr>
            <w:tcW w:w="9412" w:type="dxa"/>
            <w:tcBorders>
              <w:top w:val="nil"/>
              <w:left w:val="nil"/>
              <w:bottom w:val="nil"/>
              <w:right w:val="nil"/>
            </w:tcBorders>
            <w:shd w:val="clear" w:color="auto" w:fill="auto"/>
            <w:noWrap/>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检查牵引座本身有无裂纹和严重磨损；并对牵引座各部件进行检查，特别要检查牵引销、牵引销板、半横轴等部位的磨损及裂纹情况，并对这些部位进行润滑；紧固支承座螺栓，必要时更换螺栓；调整锁钩和牵引销的配合间隙，间隙过大需进行修复；</w:t>
            </w:r>
          </w:p>
        </w:tc>
      </w:tr>
      <w:tr>
        <w:tblPrEx>
          <w:tblLayout w:type="fixed"/>
          <w:tblCellMar>
            <w:top w:w="0" w:type="dxa"/>
            <w:left w:w="0" w:type="dxa"/>
            <w:bottom w:w="0" w:type="dxa"/>
            <w:right w:w="0" w:type="dxa"/>
          </w:tblCellMar>
        </w:tblPrEx>
        <w:trPr>
          <w:trHeight w:val="55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widowControl/>
              <w:jc w:val="center"/>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20</w:t>
            </w:r>
          </w:p>
        </w:tc>
        <w:tc>
          <w:tcPr>
            <w:tcW w:w="9412"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驾驶室门窗座椅完好，玻璃及玻璃升降器完好；驾驶室升降正常，锁销有效。各仪表，指示灯，警报灯，开关，指示正常有效。</w:t>
            </w:r>
          </w:p>
        </w:tc>
      </w:tr>
      <w:tr>
        <w:tblPrEx>
          <w:tblLayout w:type="fixed"/>
          <w:tblCellMar>
            <w:top w:w="0" w:type="dxa"/>
            <w:left w:w="0" w:type="dxa"/>
            <w:bottom w:w="0" w:type="dxa"/>
            <w:right w:w="0" w:type="dxa"/>
          </w:tblCellMar>
        </w:tblPrEx>
        <w:trPr>
          <w:trHeight w:val="510" w:hRule="atLeast"/>
        </w:trPr>
        <w:tc>
          <w:tcPr>
            <w:tcW w:w="9962" w:type="dxa"/>
            <w:gridSpan w:val="2"/>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widowControl/>
              <w:jc w:val="left"/>
              <w:textAlignment w:val="center"/>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备注：消除检查中发现的故障和缺陷。经一级保养后，汽车应达到车容整洁、连接可靠，各滤清器应清洁畅通，各部部应不漏油、水、气、电，各润滑部位应得到充分润滑。</w:t>
            </w:r>
          </w:p>
        </w:tc>
      </w:tr>
    </w:tbl>
    <w:p>
      <w:pPr>
        <w:spacing w:after="50"/>
      </w:pPr>
    </w:p>
    <w:p>
      <w:pPr>
        <w:spacing w:after="50"/>
      </w:pPr>
    </w:p>
    <w:p>
      <w:pPr>
        <w:spacing w:after="50"/>
        <w:jc w:val="center"/>
        <w:rPr>
          <w:rFonts w:ascii="宋体" w:hAnsi="宋体" w:eastAsia="宋体"/>
          <w:b/>
          <w:szCs w:val="24"/>
        </w:rPr>
      </w:pPr>
      <w:r>
        <w:rPr>
          <w:rFonts w:hint="eastAsia" w:ascii="宋体" w:hAnsi="宋体" w:eastAsia="宋体"/>
          <w:b/>
          <w:szCs w:val="24"/>
        </w:rPr>
        <w:t>第三部分   报价文件格式</w:t>
      </w:r>
    </w:p>
    <w:p>
      <w:pPr>
        <w:pStyle w:val="20"/>
        <w:numPr>
          <w:ilvl w:val="0"/>
          <w:numId w:val="9"/>
        </w:numPr>
        <w:spacing w:after="50"/>
        <w:ind w:firstLineChars="0"/>
        <w:rPr>
          <w:rFonts w:ascii="宋体" w:hAnsi="宋体" w:eastAsia="宋体"/>
        </w:rPr>
      </w:pPr>
      <w:r>
        <w:rPr>
          <w:rFonts w:hint="eastAsia" w:ascii="宋体" w:hAnsi="宋体" w:eastAsia="宋体"/>
        </w:rPr>
        <w:t>我们对牵引车及半挂车维修维护项目报价如下：</w:t>
      </w:r>
    </w:p>
    <w:tbl>
      <w:tblPr>
        <w:tblStyle w:val="16"/>
        <w:tblW w:w="8931" w:type="dxa"/>
        <w:tblInd w:w="-34" w:type="dxa"/>
        <w:tblLayout w:type="fixed"/>
        <w:tblCellMar>
          <w:top w:w="0" w:type="dxa"/>
          <w:left w:w="108" w:type="dxa"/>
          <w:bottom w:w="0" w:type="dxa"/>
          <w:right w:w="108" w:type="dxa"/>
        </w:tblCellMar>
      </w:tblPr>
      <w:tblGrid>
        <w:gridCol w:w="708"/>
        <w:gridCol w:w="3870"/>
        <w:gridCol w:w="1353"/>
        <w:gridCol w:w="1582"/>
        <w:gridCol w:w="75"/>
        <w:gridCol w:w="1343"/>
      </w:tblGrid>
      <w:tr>
        <w:tblPrEx>
          <w:tblLayout w:type="fixed"/>
          <w:tblCellMar>
            <w:top w:w="0" w:type="dxa"/>
            <w:left w:w="108" w:type="dxa"/>
            <w:bottom w:w="0" w:type="dxa"/>
            <w:right w:w="108" w:type="dxa"/>
          </w:tblCellMar>
        </w:tblPrEx>
        <w:trPr>
          <w:trHeight w:val="420" w:hRule="atLeast"/>
          <w:tblHeader/>
        </w:trPr>
        <w:tc>
          <w:tcPr>
            <w:tcW w:w="8931" w:type="dxa"/>
            <w:gridSpan w:val="6"/>
            <w:tcBorders>
              <w:top w:val="single" w:color="auto" w:sz="8" w:space="0"/>
              <w:left w:val="single" w:color="auto" w:sz="8" w:space="0"/>
              <w:bottom w:val="single" w:color="auto" w:sz="8" w:space="0"/>
              <w:right w:val="single" w:color="000000"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b/>
                <w:bCs/>
                <w:kern w:val="0"/>
                <w:sz w:val="32"/>
                <w:szCs w:val="32"/>
              </w:rPr>
            </w:pPr>
            <w:r>
              <w:rPr>
                <w:rFonts w:hint="eastAsia" w:ascii="宋体" w:hAnsi="宋体" w:eastAsia="宋体" w:cs="宋体"/>
                <w:b/>
                <w:bCs/>
                <w:kern w:val="0"/>
                <w:sz w:val="32"/>
                <w:szCs w:val="32"/>
              </w:rPr>
              <w:t>GPL 5台牵引车维修项目</w:t>
            </w:r>
          </w:p>
        </w:tc>
      </w:tr>
      <w:tr>
        <w:tblPrEx>
          <w:tblLayout w:type="fixed"/>
          <w:tblCellMar>
            <w:top w:w="0" w:type="dxa"/>
            <w:left w:w="108" w:type="dxa"/>
            <w:bottom w:w="0" w:type="dxa"/>
            <w:right w:w="108" w:type="dxa"/>
          </w:tblCellMar>
        </w:tblPrEx>
        <w:trPr>
          <w:trHeight w:val="300" w:hRule="atLeast"/>
          <w:tblHeader/>
        </w:trPr>
        <w:tc>
          <w:tcPr>
            <w:tcW w:w="708" w:type="dxa"/>
            <w:tcBorders>
              <w:top w:val="nil"/>
              <w:left w:val="single" w:color="auto" w:sz="8" w:space="0"/>
              <w:bottom w:val="single" w:color="auto" w:sz="8" w:space="0"/>
              <w:right w:val="single" w:color="auto"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序号</w:t>
            </w:r>
          </w:p>
        </w:tc>
        <w:tc>
          <w:tcPr>
            <w:tcW w:w="3870" w:type="dxa"/>
            <w:tcBorders>
              <w:top w:val="single" w:color="auto" w:sz="8" w:space="0"/>
              <w:left w:val="nil"/>
              <w:bottom w:val="single" w:color="auto" w:sz="8" w:space="0"/>
              <w:right w:val="single" w:color="000000"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维修项目</w:t>
            </w:r>
          </w:p>
        </w:tc>
        <w:tc>
          <w:tcPr>
            <w:tcW w:w="1353" w:type="dxa"/>
            <w:tcBorders>
              <w:top w:val="nil"/>
              <w:left w:val="nil"/>
              <w:bottom w:val="single" w:color="auto" w:sz="8" w:space="0"/>
              <w:right w:val="single" w:color="auto"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工时</w:t>
            </w:r>
          </w:p>
        </w:tc>
        <w:tc>
          <w:tcPr>
            <w:tcW w:w="1582" w:type="dxa"/>
            <w:tcBorders>
              <w:top w:val="nil"/>
              <w:left w:val="nil"/>
              <w:bottom w:val="single" w:color="auto" w:sz="8" w:space="0"/>
              <w:right w:val="single" w:color="auto"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工时单价</w:t>
            </w:r>
          </w:p>
        </w:tc>
        <w:tc>
          <w:tcPr>
            <w:tcW w:w="1418" w:type="dxa"/>
            <w:gridSpan w:val="2"/>
            <w:tcBorders>
              <w:top w:val="single" w:color="auto" w:sz="8" w:space="0"/>
              <w:left w:val="nil"/>
              <w:bottom w:val="single" w:color="auto" w:sz="8" w:space="0"/>
              <w:right w:val="single" w:color="auto" w:sz="8" w:space="0"/>
            </w:tcBorders>
            <w:shd w:val="pct10"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工时费</w:t>
            </w:r>
          </w:p>
        </w:tc>
      </w:tr>
      <w:tr>
        <w:tblPrEx>
          <w:tblLayout w:type="fixed"/>
          <w:tblCellMar>
            <w:top w:w="0" w:type="dxa"/>
            <w:left w:w="108" w:type="dxa"/>
            <w:bottom w:w="0" w:type="dxa"/>
            <w:right w:w="108" w:type="dxa"/>
          </w:tblCellMar>
        </w:tblPrEx>
        <w:trPr>
          <w:trHeight w:val="312" w:hRule="atLeast"/>
        </w:trPr>
        <w:tc>
          <w:tcPr>
            <w:tcW w:w="893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(一)保养</w:t>
            </w:r>
          </w:p>
        </w:tc>
      </w:tr>
      <w:tr>
        <w:tblPrEx>
          <w:tblLayout w:type="fixed"/>
          <w:tblCellMar>
            <w:top w:w="0" w:type="dxa"/>
            <w:left w:w="108" w:type="dxa"/>
            <w:bottom w:w="0" w:type="dxa"/>
            <w:right w:w="108" w:type="dxa"/>
          </w:tblCellMar>
        </w:tblPrEx>
        <w:trPr>
          <w:trHeight w:val="28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牵引车一级保养</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半挂车一级保养</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8"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9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牵引车二级维护</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半挂车二级维护</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牵引车全车润滑打黄油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半挂车全车润滑打黄油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刹车系统保养</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冷却系统保养</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空调系统保养</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1.7</w:t>
            </w:r>
          </w:p>
        </w:tc>
        <w:tc>
          <w:tcPr>
            <w:tcW w:w="3870" w:type="dxa"/>
            <w:tcBorders>
              <w:top w:val="single" w:color="auto" w:sz="4" w:space="0"/>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转向系统保养</w:t>
            </w:r>
          </w:p>
        </w:tc>
        <w:tc>
          <w:tcPr>
            <w:tcW w:w="1353" w:type="dxa"/>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1.8</w:t>
            </w:r>
          </w:p>
        </w:tc>
        <w:tc>
          <w:tcPr>
            <w:tcW w:w="3870" w:type="dxa"/>
            <w:tcBorders>
              <w:top w:val="single" w:color="auto" w:sz="4" w:space="0"/>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四轮保养</w:t>
            </w:r>
          </w:p>
        </w:tc>
        <w:tc>
          <w:tcPr>
            <w:tcW w:w="1353" w:type="dxa"/>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8"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2" w:hRule="atLeast"/>
        </w:trPr>
        <w:tc>
          <w:tcPr>
            <w:tcW w:w="893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(二)发动机</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w:t>
            </w:r>
          </w:p>
        </w:tc>
        <w:tc>
          <w:tcPr>
            <w:tcW w:w="3870"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吊装发动机总成</w:t>
            </w:r>
          </w:p>
        </w:tc>
        <w:tc>
          <w:tcPr>
            <w:tcW w:w="1353"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8"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w:t>
            </w:r>
          </w:p>
        </w:tc>
        <w:tc>
          <w:tcPr>
            <w:tcW w:w="3870" w:type="dxa"/>
            <w:tcBorders>
              <w:top w:val="single" w:color="auto" w:sz="8"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ind w:left="-358" w:leftChars="-149" w:firstLine="358" w:firstLineChars="163"/>
              <w:jc w:val="left"/>
              <w:rPr>
                <w:rFonts w:ascii="宋体" w:hAnsi="宋体" w:eastAsia="宋体" w:cs="宋体"/>
                <w:kern w:val="0"/>
                <w:sz w:val="22"/>
                <w:szCs w:val="22"/>
              </w:rPr>
            </w:pPr>
            <w:r>
              <w:rPr>
                <w:rFonts w:hint="eastAsia" w:ascii="宋体" w:hAnsi="宋体" w:eastAsia="宋体" w:cs="宋体"/>
                <w:kern w:val="0"/>
                <w:sz w:val="22"/>
                <w:szCs w:val="22"/>
              </w:rPr>
              <w:t>发动机中修</w:t>
            </w:r>
          </w:p>
        </w:tc>
        <w:tc>
          <w:tcPr>
            <w:tcW w:w="1353" w:type="dxa"/>
            <w:tcBorders>
              <w:top w:val="single" w:color="auto" w:sz="8"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single" w:color="auto" w:sz="8"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single" w:color="auto" w:sz="8"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0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发动机大修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49"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换发动机活塞\连杆及连杆轴承(个)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换发动机全套活塞环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检查连杆轴承间隙</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检修更换正时齿轮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检修曲轴通风装置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9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检修\调校柴油高压油泵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4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清洗\调校喷油嘴 （支）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更换喷油嘴(支)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拆装气门室盖</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检查\调整气门间隙</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更换发动机缸盖(个)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xml:space="preserve">更换气缸垫 </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拆装油底壳(就车)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更换曲轴后油封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更换曲轴前油封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2.19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更换飞轮齿圈</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更换机油泵总成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更换机油泵滤网</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换机油感应器\检测油压力</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检修更换机油格座</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换发动机油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更换节温器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水箱漏水，修补水箱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更换水箱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更换副水箱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2.29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更换水泵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更换防冻液</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更换水道堵头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更换旁通水管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更换上水管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更换下水管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9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更换连接水管(水泵到节温器)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更换检查水温感应器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xml:space="preserve">更换冷却风扇 </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拆装检修进气管岐管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2.39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拆装\更换空滤器总成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清洗空气滤清器或更换滤芯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5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拆装处理排气管前端接口漏气</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拆装焊补排气管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拆装\更换排气管（段）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拆装\更换消声器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2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检修起动机及起动电路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更换起动机总成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保养发电机</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更换发电机总成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2.49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检修发电机及线路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更换曲轴皮带轮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更换风扇皮带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更换发电机皮带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更换空调皮带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皮带张紧力调节</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更换燃油箱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修补燃油箱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清洗燃油箱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更换燃油箱固定带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2.59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清洗更换燃油滤清器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2.60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大修空气压缩机</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2.61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调怠速</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2.62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发动机尾气排放检测</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2.63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发动机电脑检测</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2"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(三)传动系统</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离合器调整</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更换离合器片</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更换离合器从动盘</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更换离合器压盘</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更换离合器飞轮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xml:space="preserve">更换离合器分离轴承、导向轴承 </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5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维修或保养离合器总泵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0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维修或保养离合器分泵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吊装变速箱总成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分解\修理变速箱 ，变速箱大修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更换变速箱油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96"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检修变速箱操纵机构(档位连接拉杆、连接架、档位球头…）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更换变速箱前油封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1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更换变速箱后油封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换差速器油封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分解\修理差速器，差速器大修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49"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更换传动轴十字轴、万向节总成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检修传动轴动平衡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3.19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更换半轴油封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后桥总成大修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更换后桥齿轮油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更换轮毂轴承</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3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检修轮毂油封漏油(轮)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更换轮边减器油封(轮)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更换轮胎螺丝(轮)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3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拆装前轮、后轮轴承(边)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更换前桥</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更换后桥</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3.29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更换轮胎（条）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3.30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轮胎对调（条）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3.31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检修或更换档泥板（个）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3.32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检修或更换档泥板支架（个）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12"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(四)悬挂系统</w:t>
            </w:r>
          </w:p>
        </w:tc>
      </w:tr>
      <w:tr>
        <w:tblPrEx>
          <w:tblLayout w:type="fixed"/>
          <w:tblCellMar>
            <w:top w:w="0" w:type="dxa"/>
            <w:left w:w="108" w:type="dxa"/>
            <w:bottom w:w="0" w:type="dxa"/>
            <w:right w:w="108" w:type="dxa"/>
          </w:tblCellMar>
        </w:tblPrEx>
        <w:trPr>
          <w:trHeight w:val="22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更换前、后减震器(支)</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更换前轮定位拉杆（条）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更换平衡杆胶（个）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17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拆装平衡杆、更换前平衡杆小连杆（条）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检修前轮钢板弹簧断</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检修后轮钢板弹簧断</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更换钢板销及衬套（套）</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检修前钢板支架座（个）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检修后钢板支架座（个）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09"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检修悬挂避震系统(个)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更换第5轮（磨盘）</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4.12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检修/更换磨盘锁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12"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(五)制动系统</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更换制动踏板</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调校制动踏板行程</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检修保养制动总泵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更换制动总泵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3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拆装\更换刹车总泵修理包</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检修保养制动分泵，更换刹车皮碗（个）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更换刹车分泵（个）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left" w:pos="668"/>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换刹车比例阀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换储气筒(个)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调校四轮刹车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更换刹车调整臂</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更换制动蹄（轮）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8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更换制动鼓(个)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手制动系统检修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检测ABS系统</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更换ABS执行器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26"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更换ABS转速传感器(个)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26"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更换ABS电缆、插座</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4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5.19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更换制动气路软管(条)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582"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2"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(六)转向系统</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前束检测与调整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检查调校前轮定位</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更换方向机总成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大修液压方向机</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更换方向助力油泵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更换助力泵油壶、滤芯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检修更换转向辅助器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拆装转向管柱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2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拆装检修转向横、直拉杆，更换横拉杆球头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54"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校正方向盘位置，调整方向机间隙，调整转向角度</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更换方向机油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更换方向液压油管（条）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1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拆装或更换转向节(边)</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6.14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更换转向机十字轴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05"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(七)空调系统</w:t>
            </w:r>
          </w:p>
        </w:tc>
      </w:tr>
      <w:tr>
        <w:tblPrEx>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空调系统全面检修(大修)</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测漏\加雪种</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更换电磁离合器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更换压缩机</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清洁或更换冷凝器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清洁或更换蒸发器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更换暖水开关阀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6"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更换电子扇或电子扇马达</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更换风量调节开关阀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4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更换冷暖调节开关或拉索</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更换A/C开关</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更换暖风水箱</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更换干燥瓶</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拆装空调鼓风机</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检修电子扇电路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检修空调电路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抽真空加雪种</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换高低管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7.19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更换空调继电器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清洗冷气风口\风道</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排除空调漏水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检修\更换膨胀阀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更换冷气皮带调整轮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5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拆装更换冷气温度感应器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更换空调保险阀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7.26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检修暖气系统</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hint="eastAsia" w:ascii="宋体" w:hAnsi="宋体" w:eastAsia="宋体" w:cs="宋体"/>
                <w:kern w:val="0"/>
                <w:sz w:val="22"/>
                <w:szCs w:val="22"/>
              </w:rPr>
            </w:pPr>
            <w:r>
              <w:rPr>
                <w:rFonts w:hint="eastAsia" w:ascii="宋体" w:hAnsi="宋体" w:eastAsia="宋体" w:cs="宋体"/>
                <w:kern w:val="0"/>
                <w:sz w:val="22"/>
                <w:szCs w:val="22"/>
              </w:rPr>
              <w:t>7.27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hint="eastAsia" w:ascii="宋体" w:hAnsi="宋体" w:eastAsia="宋体" w:cs="宋体"/>
                <w:kern w:val="0"/>
                <w:sz w:val="22"/>
                <w:szCs w:val="22"/>
              </w:rPr>
            </w:pPr>
            <w:r>
              <w:rPr>
                <w:rFonts w:hint="eastAsia" w:ascii="宋体" w:hAnsi="宋体" w:eastAsia="宋体" w:cs="宋体"/>
                <w:kern w:val="0"/>
                <w:sz w:val="22"/>
                <w:szCs w:val="22"/>
              </w:rPr>
              <w:t>清洗空调管道</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hint="eastAsia"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hint="eastAsia"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312"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（八）电气系统及驾驶室</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检修起动电路</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检修充电电路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检修灯光、喇叭线路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检修空调电路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7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检修仪表及故障灯（个）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更换灯光开关、继电器、闪光器、喇叭、电源开关（个）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更换灯光总成（个）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更换电池、添加电池水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更换电池线（条）、电池头（个）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更换雨刮、雨刮臂、雨刮片</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检修倒后镜、倒后镜支架</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检修驾驶室门锁</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8.13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检修更换玻璃升降器</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2" w:hRule="atLeast"/>
        </w:trPr>
        <w:tc>
          <w:tcPr>
            <w:tcW w:w="8931" w:type="dxa"/>
            <w:gridSpan w:val="6"/>
            <w:tcBorders>
              <w:top w:val="nil"/>
              <w:left w:val="single" w:color="auto" w:sz="8" w:space="0"/>
              <w:bottom w:val="nil"/>
              <w:right w:val="nil"/>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Cs w:val="24"/>
              </w:rPr>
            </w:pPr>
            <w:r>
              <w:rPr>
                <w:rFonts w:hint="eastAsia" w:ascii="宋体" w:hAnsi="宋体" w:eastAsia="宋体" w:cs="宋体"/>
                <w:b/>
                <w:bCs/>
                <w:kern w:val="0"/>
                <w:szCs w:val="24"/>
              </w:rPr>
              <w:t>（九）半挂车</w:t>
            </w:r>
          </w:p>
        </w:tc>
      </w:tr>
      <w:tr>
        <w:tblPrEx>
          <w:tblLayout w:type="fixed"/>
          <w:tblCellMar>
            <w:top w:w="0" w:type="dxa"/>
            <w:left w:w="108" w:type="dxa"/>
            <w:bottom w:w="0" w:type="dxa"/>
            <w:right w:w="108" w:type="dxa"/>
          </w:tblCellMar>
        </w:tblPrEx>
        <w:trPr>
          <w:trHeight w:val="28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拆装检修锁头（个）</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检修灯光线路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3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更换灯具(转向\倒车\制动\雾灯\位置灯)(个)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1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检修更换管路、接头漏风（处）</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6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检修更换各类阀（继动阀、快放阀、制动阀……)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检修更换储气筒(个)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检修保养刹车分泵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更换刹车分泵</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7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更换ABS转速传感器(个)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79"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更换ABS电磁阀及UPS总成</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13"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检修更换ABS电缆、插座</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调整检修刹车（滚轮\凸轮轴\调整臂</w:t>
            </w:r>
            <w:r>
              <w:rPr>
                <w:rFonts w:ascii="宋体" w:hAnsi="宋体" w:eastAsia="宋体" w:cs="宋体"/>
                <w:kern w:val="0"/>
                <w:sz w:val="22"/>
                <w:szCs w:val="22"/>
              </w:rPr>
              <w:t>…</w:t>
            </w:r>
            <w:r>
              <w:rPr>
                <w:rFonts w:hint="eastAsia" w:ascii="宋体" w:hAnsi="宋体" w:eastAsia="宋体" w:cs="宋体"/>
                <w:kern w:val="0"/>
                <w:sz w:val="22"/>
                <w:szCs w:val="22"/>
              </w:rPr>
              <w:t>.）</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更换制动蹄（轮）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更换制动鼓(个)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更换制动软管(条)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更换轮毂轴承</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检修轮毂油封漏油(轮)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更换轮胎</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9.19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轮胎对调（条）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检修或更换档泥板（个）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检修或更换档泥板支架（个）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rPr>
                <w:rFonts w:ascii="宋体" w:hAnsi="宋体" w:eastAsia="宋体" w:cs="宋体"/>
                <w:kern w:val="0"/>
                <w:sz w:val="22"/>
                <w:szCs w:val="22"/>
              </w:rPr>
            </w:pPr>
            <w:r>
              <w:rPr>
                <w:rFonts w:hint="eastAsia" w:ascii="宋体" w:hAnsi="宋体" w:eastAsia="宋体" w:cs="宋体"/>
                <w:kern w:val="0"/>
                <w:sz w:val="22"/>
                <w:szCs w:val="22"/>
              </w:rPr>
              <w:t>9.22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rPr>
                <w:rFonts w:ascii="宋体" w:hAnsi="宋体" w:eastAsia="宋体" w:cs="宋体"/>
                <w:kern w:val="0"/>
                <w:sz w:val="22"/>
                <w:szCs w:val="22"/>
              </w:rPr>
            </w:pPr>
            <w:r>
              <w:rPr>
                <w:rFonts w:hint="eastAsia" w:ascii="宋体" w:hAnsi="宋体" w:eastAsia="宋体" w:cs="宋体"/>
                <w:kern w:val="0"/>
                <w:sz w:val="22"/>
                <w:szCs w:val="22"/>
              </w:rPr>
              <w:t>更换轮胎螺栓(轮)</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4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更换钢板U形螺栓 (支)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2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检修钢板弹簧断(担/片)</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71"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更换钢板支承销及衬套(个)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7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检修\更换钢板平衡臂支架(个)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67"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9.27</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检修\更换钢板平衡臂(个)</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385"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9.28</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检修\调整\更换拉力杆(支)</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9.29</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检修防撞护栏 (处)</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更换安全带(条)</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金属结构部件裂纹烧焊加固修复（处）</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检修校正车架变形</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9.33</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检修校正车轴变形</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9.34</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更换牵引销</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9.35</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更换牵引销板</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9.36</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更换车轴</w:t>
            </w:r>
          </w:p>
        </w:tc>
        <w:tc>
          <w:tcPr>
            <w:tcW w:w="135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288"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bCs/>
                <w:kern w:val="0"/>
                <w:sz w:val="22"/>
                <w:szCs w:val="22"/>
              </w:rPr>
            </w:pPr>
            <w:r>
              <w:rPr>
                <w:rFonts w:hint="eastAsia" w:ascii="宋体" w:hAnsi="宋体" w:eastAsia="宋体" w:cs="宋体"/>
                <w:b/>
                <w:bCs/>
                <w:kern w:val="0"/>
                <w:sz w:val="22"/>
                <w:szCs w:val="22"/>
              </w:rPr>
              <w:t>（十）拖车费</w:t>
            </w:r>
          </w:p>
        </w:tc>
      </w:tr>
      <w:tr>
        <w:tblPrEx>
          <w:tblLayout w:type="fixed"/>
          <w:tblCellMar>
            <w:top w:w="0" w:type="dxa"/>
            <w:left w:w="108" w:type="dxa"/>
            <w:bottom w:w="0" w:type="dxa"/>
            <w:right w:w="108" w:type="dxa"/>
          </w:tblCellMar>
        </w:tblPrEx>
        <w:trPr>
          <w:trHeight w:val="864"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10</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xml:space="preserve">车辆坏在中途坏,拖车费用 </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09"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b/>
                <w:kern w:val="0"/>
                <w:sz w:val="22"/>
                <w:szCs w:val="22"/>
              </w:rPr>
            </w:pPr>
            <w:r>
              <w:rPr>
                <w:rFonts w:hint="eastAsia" w:ascii="宋体" w:hAnsi="宋体" w:eastAsia="宋体" w:cs="宋体"/>
                <w:b/>
                <w:kern w:val="0"/>
                <w:sz w:val="22"/>
                <w:szCs w:val="22"/>
              </w:rPr>
              <w:t>(十一) 年审、年检</w:t>
            </w:r>
          </w:p>
        </w:tc>
      </w:tr>
      <w:tr>
        <w:tblPrEx>
          <w:tblLayout w:type="fixed"/>
          <w:tblCellMar>
            <w:top w:w="0" w:type="dxa"/>
            <w:left w:w="108" w:type="dxa"/>
            <w:bottom w:w="0" w:type="dxa"/>
            <w:right w:w="108" w:type="dxa"/>
          </w:tblCellMar>
        </w:tblPrEx>
        <w:trPr>
          <w:trHeight w:val="864"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11.1</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 xml:space="preserve">牵引车三检合一( </w:t>
            </w:r>
            <w:bookmarkStart w:id="5" w:name="OLE_LINK2"/>
            <w:bookmarkStart w:id="6" w:name="OLE_LINK1"/>
            <w:r>
              <w:rPr>
                <w:rFonts w:hint="eastAsia" w:ascii="宋体" w:hAnsi="宋体" w:eastAsia="宋体" w:cs="宋体"/>
                <w:kern w:val="0"/>
                <w:sz w:val="22"/>
                <w:szCs w:val="22"/>
              </w:rPr>
              <w:t>年审\年检\</w:t>
            </w:r>
            <w:bookmarkEnd w:id="5"/>
            <w:bookmarkEnd w:id="6"/>
            <w:r>
              <w:rPr>
                <w:rFonts w:hint="eastAsia" w:ascii="宋体" w:hAnsi="宋体" w:eastAsia="宋体" w:cs="宋体"/>
                <w:kern w:val="0"/>
                <w:sz w:val="22"/>
                <w:szCs w:val="22"/>
              </w:rPr>
              <w:t>尾气排放检验)</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864"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11.2</w:t>
            </w:r>
          </w:p>
        </w:tc>
        <w:tc>
          <w:tcPr>
            <w:tcW w:w="3870"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r>
              <w:rPr>
                <w:rFonts w:hint="eastAsia" w:ascii="宋体" w:hAnsi="宋体" w:eastAsia="宋体" w:cs="宋体"/>
                <w:kern w:val="0"/>
                <w:sz w:val="22"/>
                <w:szCs w:val="22"/>
              </w:rPr>
              <w:t>半挂车年审\年检</w:t>
            </w:r>
          </w:p>
        </w:tc>
        <w:tc>
          <w:tcPr>
            <w:tcW w:w="135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c>
          <w:tcPr>
            <w:tcW w:w="1343" w:type="dxa"/>
            <w:tcBorders>
              <w:top w:val="single" w:color="auto" w:sz="4" w:space="0"/>
              <w:left w:val="nil"/>
              <w:bottom w:val="single" w:color="auto" w:sz="4" w:space="0"/>
              <w:right w:val="single" w:color="auto" w:sz="4" w:space="0"/>
            </w:tcBorders>
            <w:shd w:val="clear" w:color="auto" w:fill="auto"/>
            <w:vAlign w:val="center"/>
          </w:tcPr>
          <w:p>
            <w:pPr>
              <w:tabs>
                <w:tab w:val="clear" w:pos="709"/>
                <w:tab w:val="clear" w:pos="1418"/>
                <w:tab w:val="clear" w:pos="2126"/>
                <w:tab w:val="clear" w:pos="2835"/>
                <w:tab w:val="clear" w:pos="3544"/>
                <w:tab w:val="clear" w:pos="4253"/>
                <w:tab w:val="clear" w:pos="4961"/>
                <w:tab w:val="clear" w:pos="5670"/>
                <w:tab w:val="clear" w:pos="6379"/>
                <w:tab w:val="clear" w:pos="7088"/>
              </w:tabs>
              <w:spacing w:after="50"/>
              <w:jc w:val="left"/>
              <w:rPr>
                <w:rFonts w:ascii="宋体" w:hAnsi="宋体" w:eastAsia="宋体" w:cs="宋体"/>
                <w:kern w:val="0"/>
                <w:sz w:val="22"/>
                <w:szCs w:val="22"/>
              </w:rPr>
            </w:pPr>
          </w:p>
        </w:tc>
      </w:tr>
    </w:tbl>
    <w:p>
      <w:pPr>
        <w:pStyle w:val="20"/>
        <w:spacing w:after="50"/>
        <w:ind w:firstLine="0" w:firstLineChars="0"/>
        <w:rPr>
          <w:rFonts w:ascii="宋体" w:hAnsi="宋体" w:eastAsia="宋体"/>
        </w:rPr>
      </w:pPr>
    </w:p>
    <w:tbl>
      <w:tblPr>
        <w:tblStyle w:val="1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963"/>
        <w:gridCol w:w="148"/>
        <w:gridCol w:w="1286"/>
        <w:gridCol w:w="20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企业名称</w:t>
            </w:r>
          </w:p>
        </w:tc>
        <w:tc>
          <w:tcPr>
            <w:tcW w:w="3111" w:type="dxa"/>
            <w:gridSpan w:val="2"/>
            <w:noWrap/>
            <w:vAlign w:val="center"/>
          </w:tcPr>
          <w:p>
            <w:pPr>
              <w:jc w:val="center"/>
              <w:rPr>
                <w:rFonts w:ascii="宋体" w:hAnsi="宋体" w:eastAsia="宋体" w:cs="仿宋"/>
                <w:kern w:val="32"/>
                <w:szCs w:val="24"/>
                <w:shd w:val="clear" w:color="auto" w:fill="FFFFFF"/>
              </w:rPr>
            </w:pPr>
          </w:p>
        </w:tc>
        <w:tc>
          <w:tcPr>
            <w:tcW w:w="1491"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成立日期</w:t>
            </w:r>
          </w:p>
        </w:tc>
        <w:tc>
          <w:tcPr>
            <w:tcW w:w="2490" w:type="dxa"/>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66" w:type="dxa"/>
            <w:gridSpan w:val="3"/>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统一社会信用代码</w:t>
            </w:r>
          </w:p>
        </w:tc>
        <w:tc>
          <w:tcPr>
            <w:tcW w:w="3981" w:type="dxa"/>
            <w:gridSpan w:val="3"/>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注册资本</w:t>
            </w:r>
          </w:p>
        </w:tc>
        <w:tc>
          <w:tcPr>
            <w:tcW w:w="3111" w:type="dxa"/>
            <w:gridSpan w:val="2"/>
            <w:noWrap/>
            <w:vAlign w:val="center"/>
          </w:tcPr>
          <w:p>
            <w:pPr>
              <w:jc w:val="center"/>
              <w:rPr>
                <w:rFonts w:ascii="宋体" w:hAnsi="宋体" w:eastAsia="宋体" w:cs="仿宋"/>
                <w:kern w:val="32"/>
                <w:szCs w:val="24"/>
                <w:shd w:val="clear" w:color="auto" w:fill="FFFFFF"/>
              </w:rPr>
            </w:pPr>
          </w:p>
        </w:tc>
        <w:tc>
          <w:tcPr>
            <w:tcW w:w="1491"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企业类型</w:t>
            </w:r>
          </w:p>
        </w:tc>
        <w:tc>
          <w:tcPr>
            <w:tcW w:w="2490" w:type="dxa"/>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批准登记机关</w:t>
            </w:r>
          </w:p>
        </w:tc>
        <w:tc>
          <w:tcPr>
            <w:tcW w:w="3111" w:type="dxa"/>
            <w:gridSpan w:val="2"/>
            <w:noWrap/>
            <w:vAlign w:val="center"/>
          </w:tcPr>
          <w:p>
            <w:pPr>
              <w:jc w:val="center"/>
              <w:rPr>
                <w:rFonts w:ascii="宋体" w:hAnsi="宋体" w:eastAsia="宋体" w:cs="仿宋"/>
                <w:kern w:val="32"/>
                <w:szCs w:val="24"/>
                <w:shd w:val="clear" w:color="auto" w:fill="FFFFFF"/>
              </w:rPr>
            </w:pPr>
          </w:p>
        </w:tc>
        <w:tc>
          <w:tcPr>
            <w:tcW w:w="1491"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组织代码</w:t>
            </w:r>
          </w:p>
        </w:tc>
        <w:tc>
          <w:tcPr>
            <w:tcW w:w="2490" w:type="dxa"/>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法定代表人</w:t>
            </w:r>
          </w:p>
        </w:tc>
        <w:tc>
          <w:tcPr>
            <w:tcW w:w="3111" w:type="dxa"/>
            <w:gridSpan w:val="2"/>
            <w:noWrap/>
            <w:vAlign w:val="center"/>
          </w:tcPr>
          <w:p>
            <w:pPr>
              <w:jc w:val="center"/>
              <w:rPr>
                <w:rFonts w:ascii="宋体" w:hAnsi="宋体" w:eastAsia="宋体" w:cs="仿宋"/>
                <w:kern w:val="32"/>
                <w:szCs w:val="24"/>
                <w:shd w:val="clear" w:color="auto" w:fill="FFFFFF"/>
              </w:rPr>
            </w:pPr>
          </w:p>
        </w:tc>
        <w:tc>
          <w:tcPr>
            <w:tcW w:w="1491"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营业期限</w:t>
            </w:r>
          </w:p>
        </w:tc>
        <w:tc>
          <w:tcPr>
            <w:tcW w:w="2490" w:type="dxa"/>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资质类型</w:t>
            </w:r>
          </w:p>
        </w:tc>
        <w:tc>
          <w:tcPr>
            <w:tcW w:w="3111" w:type="dxa"/>
            <w:gridSpan w:val="2"/>
            <w:noWrap/>
            <w:vAlign w:val="center"/>
          </w:tcPr>
          <w:p>
            <w:pPr>
              <w:jc w:val="center"/>
              <w:rPr>
                <w:rFonts w:ascii="宋体" w:hAnsi="宋体" w:eastAsia="宋体" w:cs="仿宋"/>
                <w:kern w:val="32"/>
                <w:szCs w:val="24"/>
                <w:shd w:val="clear" w:color="auto" w:fill="FFFFFF"/>
              </w:rPr>
            </w:pPr>
          </w:p>
        </w:tc>
        <w:tc>
          <w:tcPr>
            <w:tcW w:w="1491"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资质等级</w:t>
            </w:r>
          </w:p>
        </w:tc>
        <w:tc>
          <w:tcPr>
            <w:tcW w:w="2490" w:type="dxa"/>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主营业务</w:t>
            </w:r>
          </w:p>
        </w:tc>
        <w:tc>
          <w:tcPr>
            <w:tcW w:w="7092" w:type="dxa"/>
            <w:gridSpan w:val="5"/>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地  址</w:t>
            </w:r>
          </w:p>
        </w:tc>
        <w:tc>
          <w:tcPr>
            <w:tcW w:w="7092" w:type="dxa"/>
            <w:gridSpan w:val="5"/>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开户银行</w:t>
            </w:r>
          </w:p>
        </w:tc>
        <w:tc>
          <w:tcPr>
            <w:tcW w:w="7092" w:type="dxa"/>
            <w:gridSpan w:val="5"/>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开户行号</w:t>
            </w:r>
          </w:p>
        </w:tc>
        <w:tc>
          <w:tcPr>
            <w:tcW w:w="7092" w:type="dxa"/>
            <w:gridSpan w:val="5"/>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银行账号</w:t>
            </w:r>
          </w:p>
        </w:tc>
        <w:tc>
          <w:tcPr>
            <w:tcW w:w="7092" w:type="dxa"/>
            <w:gridSpan w:val="5"/>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电  话</w:t>
            </w:r>
          </w:p>
        </w:tc>
        <w:tc>
          <w:tcPr>
            <w:tcW w:w="2963" w:type="dxa"/>
            <w:noWrap/>
            <w:vAlign w:val="center"/>
          </w:tcPr>
          <w:p>
            <w:pPr>
              <w:jc w:val="center"/>
              <w:rPr>
                <w:rFonts w:ascii="宋体" w:hAnsi="宋体" w:eastAsia="宋体" w:cs="仿宋"/>
                <w:kern w:val="32"/>
                <w:szCs w:val="24"/>
                <w:shd w:val="clear" w:color="auto" w:fill="FFFFFF"/>
              </w:rPr>
            </w:pPr>
          </w:p>
        </w:tc>
        <w:tc>
          <w:tcPr>
            <w:tcW w:w="1434"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传  真</w:t>
            </w:r>
          </w:p>
        </w:tc>
        <w:tc>
          <w:tcPr>
            <w:tcW w:w="2695" w:type="dxa"/>
            <w:gridSpan w:val="2"/>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邮  箱</w:t>
            </w:r>
          </w:p>
        </w:tc>
        <w:tc>
          <w:tcPr>
            <w:tcW w:w="2963" w:type="dxa"/>
            <w:noWrap/>
            <w:vAlign w:val="center"/>
          </w:tcPr>
          <w:p>
            <w:pPr>
              <w:jc w:val="center"/>
              <w:rPr>
                <w:rFonts w:ascii="宋体" w:hAnsi="宋体" w:eastAsia="宋体" w:cs="仿宋"/>
                <w:kern w:val="32"/>
                <w:szCs w:val="24"/>
                <w:shd w:val="clear" w:color="auto" w:fill="FFFFFF"/>
              </w:rPr>
            </w:pPr>
          </w:p>
        </w:tc>
        <w:tc>
          <w:tcPr>
            <w:tcW w:w="1434"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邮  编</w:t>
            </w:r>
          </w:p>
        </w:tc>
        <w:tc>
          <w:tcPr>
            <w:tcW w:w="2695" w:type="dxa"/>
            <w:gridSpan w:val="2"/>
            <w:noWrap/>
            <w:vAlign w:val="center"/>
          </w:tcPr>
          <w:p>
            <w:pPr>
              <w:jc w:val="center"/>
              <w:rPr>
                <w:rFonts w:ascii="宋体" w:hAnsi="宋体" w:eastAsia="宋体" w:cs="仿宋"/>
                <w:kern w:val="32"/>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5" w:type="dxa"/>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联系人</w:t>
            </w:r>
          </w:p>
        </w:tc>
        <w:tc>
          <w:tcPr>
            <w:tcW w:w="2963" w:type="dxa"/>
            <w:noWrap/>
            <w:vAlign w:val="center"/>
          </w:tcPr>
          <w:p>
            <w:pPr>
              <w:jc w:val="center"/>
              <w:rPr>
                <w:rFonts w:ascii="宋体" w:hAnsi="宋体" w:eastAsia="宋体" w:cs="仿宋"/>
                <w:kern w:val="32"/>
                <w:szCs w:val="24"/>
                <w:shd w:val="clear" w:color="auto" w:fill="FFFFFF"/>
              </w:rPr>
            </w:pPr>
          </w:p>
        </w:tc>
        <w:tc>
          <w:tcPr>
            <w:tcW w:w="1434" w:type="dxa"/>
            <w:gridSpan w:val="2"/>
            <w:noWrap/>
            <w:vAlign w:val="center"/>
          </w:tcPr>
          <w:p>
            <w:pPr>
              <w:jc w:val="center"/>
              <w:rPr>
                <w:rFonts w:ascii="宋体" w:hAnsi="宋体" w:eastAsia="宋体" w:cs="仿宋"/>
                <w:kern w:val="32"/>
                <w:szCs w:val="24"/>
                <w:shd w:val="clear" w:color="auto" w:fill="FFFFFF"/>
              </w:rPr>
            </w:pPr>
            <w:r>
              <w:rPr>
                <w:rFonts w:hint="eastAsia" w:ascii="宋体" w:hAnsi="宋体" w:eastAsia="宋体" w:cs="仿宋"/>
                <w:kern w:val="32"/>
                <w:szCs w:val="24"/>
                <w:shd w:val="clear" w:color="auto" w:fill="FFFFFF"/>
              </w:rPr>
              <w:t>联系方式</w:t>
            </w:r>
          </w:p>
        </w:tc>
        <w:tc>
          <w:tcPr>
            <w:tcW w:w="2695" w:type="dxa"/>
            <w:gridSpan w:val="2"/>
            <w:noWrap/>
            <w:vAlign w:val="center"/>
          </w:tcPr>
          <w:p>
            <w:pPr>
              <w:jc w:val="center"/>
              <w:rPr>
                <w:rFonts w:ascii="宋体" w:hAnsi="宋体" w:eastAsia="宋体" w:cs="仿宋"/>
                <w:kern w:val="32"/>
                <w:szCs w:val="24"/>
                <w:shd w:val="clear" w:color="auto" w:fill="FFFFFF"/>
              </w:rPr>
            </w:pPr>
          </w:p>
        </w:tc>
      </w:tr>
    </w:tbl>
    <w:p>
      <w:pPr>
        <w:pStyle w:val="20"/>
        <w:spacing w:after="50"/>
        <w:ind w:left="851" w:firstLine="0" w:firstLineChars="0"/>
        <w:rPr>
          <w:rFonts w:ascii="宋体" w:hAnsi="宋体" w:eastAsia="宋体"/>
        </w:rPr>
      </w:pPr>
    </w:p>
    <w:tbl>
      <w:tblPr>
        <w:tblStyle w:val="16"/>
        <w:tblW w:w="8713" w:type="dxa"/>
        <w:jc w:val="center"/>
        <w:tblInd w:w="0" w:type="dxa"/>
        <w:tblLayout w:type="fixed"/>
        <w:tblCellMar>
          <w:top w:w="0" w:type="dxa"/>
          <w:left w:w="0" w:type="dxa"/>
          <w:bottom w:w="0" w:type="dxa"/>
          <w:right w:w="0" w:type="dxa"/>
        </w:tblCellMar>
      </w:tblPr>
      <w:tblGrid>
        <w:gridCol w:w="3028"/>
        <w:gridCol w:w="540"/>
        <w:gridCol w:w="5145"/>
      </w:tblGrid>
      <w:tr>
        <w:tblPrEx>
          <w:tblLayout w:type="fixed"/>
          <w:tblCellMar>
            <w:top w:w="0" w:type="dxa"/>
            <w:left w:w="0" w:type="dxa"/>
            <w:bottom w:w="0" w:type="dxa"/>
            <w:right w:w="0" w:type="dxa"/>
          </w:tblCellMar>
        </w:tblPrEx>
        <w:trPr>
          <w:trHeight w:val="850" w:hRule="exact"/>
          <w:jc w:val="center"/>
        </w:trPr>
        <w:tc>
          <w:tcPr>
            <w:tcW w:w="3028" w:type="dxa"/>
            <w:noWrap/>
            <w:vAlign w:val="bottom"/>
          </w:tcPr>
          <w:p>
            <w:pPr>
              <w:spacing w:line="360" w:lineRule="auto"/>
              <w:jc w:val="center"/>
              <w:rPr>
                <w:rFonts w:ascii="宋体" w:hAnsi="宋体" w:eastAsia="宋体"/>
                <w:b/>
                <w:szCs w:val="24"/>
              </w:rPr>
            </w:pPr>
            <w:r>
              <w:rPr>
                <w:rFonts w:hint="eastAsia" w:ascii="宋体" w:hAnsi="宋体" w:eastAsia="宋体"/>
                <w:b/>
                <w:szCs w:val="24"/>
              </w:rPr>
              <w:t>乙方名称</w:t>
            </w:r>
          </w:p>
          <w:p>
            <w:pPr>
              <w:spacing w:line="360" w:lineRule="auto"/>
              <w:jc w:val="center"/>
              <w:rPr>
                <w:rFonts w:ascii="宋体" w:hAnsi="宋体" w:eastAsia="宋体"/>
                <w:b/>
                <w:szCs w:val="24"/>
              </w:rPr>
            </w:pPr>
            <w:r>
              <w:rPr>
                <w:rFonts w:ascii="宋体" w:hAnsi="宋体" w:eastAsia="宋体"/>
                <w:b/>
                <w:bCs/>
                <w:szCs w:val="24"/>
              </w:rPr>
              <w:t>（加盖公章）</w:t>
            </w:r>
          </w:p>
          <w:p>
            <w:pPr>
              <w:spacing w:line="360" w:lineRule="auto"/>
              <w:jc w:val="center"/>
              <w:rPr>
                <w:rFonts w:ascii="宋体" w:hAnsi="宋体" w:eastAsia="宋体"/>
                <w:b/>
                <w:szCs w:val="24"/>
              </w:rPr>
            </w:pPr>
          </w:p>
        </w:tc>
        <w:tc>
          <w:tcPr>
            <w:tcW w:w="540" w:type="dxa"/>
            <w:noWrap/>
            <w:vAlign w:val="bottom"/>
          </w:tcPr>
          <w:p>
            <w:pPr>
              <w:spacing w:line="360" w:lineRule="auto"/>
              <w:jc w:val="center"/>
              <w:rPr>
                <w:rFonts w:ascii="宋体" w:hAnsi="宋体" w:eastAsia="宋体"/>
                <w:kern w:val="32"/>
                <w:szCs w:val="24"/>
                <w:shd w:val="clear" w:color="auto" w:fill="FFFFFF"/>
              </w:rPr>
            </w:pPr>
            <w:r>
              <w:rPr>
                <w:rFonts w:ascii="宋体" w:hAnsi="宋体" w:eastAsia="宋体"/>
                <w:kern w:val="32"/>
                <w:szCs w:val="24"/>
                <w:shd w:val="clear" w:color="auto" w:fill="FFFFFF"/>
              </w:rPr>
              <w:t>：</w:t>
            </w:r>
          </w:p>
        </w:tc>
        <w:tc>
          <w:tcPr>
            <w:tcW w:w="5145" w:type="dxa"/>
            <w:tcBorders>
              <w:bottom w:val="single" w:color="auto" w:sz="4" w:space="0"/>
            </w:tcBorders>
            <w:noWrap/>
            <w:vAlign w:val="bottom"/>
          </w:tcPr>
          <w:p>
            <w:pPr>
              <w:spacing w:line="360" w:lineRule="auto"/>
              <w:rPr>
                <w:rFonts w:ascii="宋体" w:hAnsi="宋体" w:eastAsia="宋体"/>
                <w:spacing w:val="-2"/>
                <w:kern w:val="32"/>
                <w:szCs w:val="24"/>
                <w:shd w:val="clear" w:color="auto" w:fill="FFFFFF"/>
              </w:rPr>
            </w:pPr>
          </w:p>
        </w:tc>
      </w:tr>
      <w:tr>
        <w:tblPrEx>
          <w:tblLayout w:type="fixed"/>
          <w:tblCellMar>
            <w:top w:w="0" w:type="dxa"/>
            <w:left w:w="0" w:type="dxa"/>
            <w:bottom w:w="0" w:type="dxa"/>
            <w:right w:w="0" w:type="dxa"/>
          </w:tblCellMar>
        </w:tblPrEx>
        <w:trPr>
          <w:trHeight w:val="510" w:hRule="exact"/>
          <w:jc w:val="center"/>
        </w:trPr>
        <w:tc>
          <w:tcPr>
            <w:tcW w:w="3028" w:type="dxa"/>
            <w:noWrap/>
            <w:vAlign w:val="bottom"/>
          </w:tcPr>
          <w:p>
            <w:pPr>
              <w:tabs>
                <w:tab w:val="left" w:pos="2887"/>
                <w:tab w:val="clear" w:pos="2835"/>
              </w:tabs>
              <w:spacing w:line="360" w:lineRule="auto"/>
              <w:jc w:val="center"/>
              <w:rPr>
                <w:rFonts w:ascii="宋体" w:hAnsi="宋体" w:eastAsia="宋体"/>
                <w:szCs w:val="24"/>
              </w:rPr>
            </w:pPr>
            <w:r>
              <w:rPr>
                <w:rFonts w:ascii="宋体" w:hAnsi="宋体" w:eastAsia="宋体"/>
                <w:kern w:val="32"/>
                <w:szCs w:val="24"/>
                <w:shd w:val="clear" w:color="auto" w:fill="FFFFFF"/>
              </w:rPr>
              <w:t>法定代表人</w:t>
            </w:r>
            <w:r>
              <w:rPr>
                <w:rFonts w:hint="eastAsia" w:ascii="宋体" w:hAnsi="宋体" w:eastAsia="宋体"/>
                <w:kern w:val="32"/>
                <w:szCs w:val="24"/>
                <w:shd w:val="clear" w:color="auto" w:fill="FFFFFF"/>
              </w:rPr>
              <w:t>或授权代表</w:t>
            </w:r>
            <w:r>
              <w:rPr>
                <w:rFonts w:ascii="宋体" w:hAnsi="宋体" w:eastAsia="宋体"/>
                <w:kern w:val="32"/>
                <w:szCs w:val="24"/>
                <w:shd w:val="clear" w:color="auto" w:fill="FFFFFF"/>
              </w:rPr>
              <w:t>签</w:t>
            </w:r>
            <w:r>
              <w:rPr>
                <w:rFonts w:hint="eastAsia" w:ascii="宋体" w:hAnsi="宋体" w:eastAsia="宋体"/>
                <w:kern w:val="32"/>
                <w:szCs w:val="24"/>
                <w:shd w:val="clear" w:color="auto" w:fill="FFFFFF"/>
              </w:rPr>
              <w:t>署</w:t>
            </w:r>
          </w:p>
        </w:tc>
        <w:tc>
          <w:tcPr>
            <w:tcW w:w="540" w:type="dxa"/>
            <w:noWrap/>
            <w:vAlign w:val="bottom"/>
          </w:tcPr>
          <w:p>
            <w:pPr>
              <w:spacing w:line="360" w:lineRule="auto"/>
              <w:jc w:val="center"/>
              <w:rPr>
                <w:rFonts w:ascii="宋体" w:hAnsi="宋体" w:eastAsia="宋体"/>
                <w:kern w:val="32"/>
                <w:szCs w:val="24"/>
                <w:shd w:val="clear" w:color="auto" w:fill="FFFFFF"/>
              </w:rPr>
            </w:pPr>
            <w:r>
              <w:rPr>
                <w:rFonts w:ascii="宋体" w:hAnsi="宋体" w:eastAsia="宋体"/>
                <w:kern w:val="32"/>
                <w:szCs w:val="24"/>
                <w:shd w:val="clear" w:color="auto" w:fill="FFFFFF"/>
              </w:rPr>
              <w:t>：</w:t>
            </w:r>
          </w:p>
        </w:tc>
        <w:tc>
          <w:tcPr>
            <w:tcW w:w="5145" w:type="dxa"/>
            <w:tcBorders>
              <w:top w:val="single" w:color="auto" w:sz="4" w:space="0"/>
              <w:bottom w:val="single" w:color="auto" w:sz="4" w:space="0"/>
            </w:tcBorders>
            <w:noWrap/>
            <w:vAlign w:val="bottom"/>
          </w:tcPr>
          <w:p>
            <w:pPr>
              <w:spacing w:line="360" w:lineRule="auto"/>
              <w:rPr>
                <w:rFonts w:ascii="宋体" w:hAnsi="宋体" w:eastAsia="宋体"/>
                <w:spacing w:val="-2"/>
                <w:kern w:val="32"/>
                <w:szCs w:val="24"/>
                <w:shd w:val="clear" w:color="auto" w:fill="FFFFFF"/>
              </w:rPr>
            </w:pPr>
          </w:p>
        </w:tc>
      </w:tr>
    </w:tbl>
    <w:p>
      <w:pPr>
        <w:spacing w:after="50"/>
        <w:jc w:val="center"/>
        <w:rPr>
          <w:rFonts w:ascii="宋体" w:hAnsi="宋体" w:eastAsia="宋体"/>
          <w:b/>
          <w:szCs w:val="24"/>
        </w:rPr>
      </w:pPr>
    </w:p>
    <w:p>
      <w:pPr>
        <w:spacing w:after="50"/>
        <w:jc w:val="center"/>
        <w:rPr>
          <w:rFonts w:ascii="宋体" w:hAnsi="宋体" w:eastAsia="宋体"/>
          <w:b/>
          <w:szCs w:val="24"/>
        </w:rPr>
      </w:pPr>
    </w:p>
    <w:p>
      <w:pPr>
        <w:spacing w:after="50"/>
        <w:jc w:val="center"/>
        <w:rPr>
          <w:rFonts w:ascii="宋体" w:hAnsi="宋体" w:eastAsia="宋体"/>
          <w:b/>
          <w:szCs w:val="24"/>
        </w:rPr>
      </w:pPr>
    </w:p>
    <w:p>
      <w:pPr>
        <w:spacing w:after="50"/>
        <w:jc w:val="center"/>
        <w:rPr>
          <w:rFonts w:ascii="宋体" w:hAnsi="宋体" w:eastAsia="宋体"/>
          <w:b/>
          <w:szCs w:val="24"/>
        </w:rPr>
      </w:pPr>
    </w:p>
    <w:p>
      <w:pPr>
        <w:spacing w:after="50"/>
        <w:jc w:val="center"/>
        <w:rPr>
          <w:rFonts w:ascii="宋体" w:hAnsi="宋体" w:eastAsia="宋体"/>
          <w:b/>
          <w:szCs w:val="24"/>
        </w:rPr>
      </w:pPr>
      <w:r>
        <w:rPr>
          <w:rFonts w:hint="eastAsia" w:ascii="宋体" w:hAnsi="宋体" w:eastAsia="宋体"/>
          <w:b/>
          <w:szCs w:val="24"/>
        </w:rPr>
        <w:t>第五部分  合同条款</w:t>
      </w:r>
    </w:p>
    <w:p>
      <w:pPr>
        <w:pStyle w:val="2"/>
        <w:keepNext w:val="0"/>
        <w:keepLines w:val="0"/>
        <w:spacing w:beforeLines="100" w:after="50" w:line="240" w:lineRule="auto"/>
        <w:jc w:val="left"/>
        <w:rPr>
          <w:rFonts w:asciiTheme="minorEastAsia" w:hAnsiTheme="minorEastAsia" w:eastAsiaTheme="minorEastAsia"/>
          <w:kern w:val="0"/>
          <w:sz w:val="24"/>
          <w:szCs w:val="24"/>
        </w:rPr>
      </w:pPr>
      <w:bookmarkStart w:id="7" w:name="_Toc353800513"/>
      <w:bookmarkStart w:id="8" w:name="_Toc285213446"/>
      <w:bookmarkStart w:id="9" w:name="_Toc272415148"/>
      <w:bookmarkStart w:id="10" w:name="_Toc91868749"/>
      <w:r>
        <w:rPr>
          <w:rFonts w:asciiTheme="minorEastAsia" w:hAnsiTheme="minorEastAsia" w:eastAsiaTheme="minorEastAsia"/>
          <w:kern w:val="0"/>
          <w:sz w:val="24"/>
          <w:szCs w:val="24"/>
        </w:rPr>
        <w:t>综合说明</w:t>
      </w:r>
      <w:bookmarkEnd w:id="7"/>
      <w:bookmarkEnd w:id="8"/>
      <w:bookmarkEnd w:id="9"/>
      <w:bookmarkEnd w:id="10"/>
    </w:p>
    <w:p>
      <w:pPr>
        <w:pStyle w:val="3"/>
        <w:keepNext w:val="0"/>
        <w:keepLines w:val="0"/>
        <w:spacing w:before="156" w:after="50" w:afterAutospacing="0"/>
        <w:rPr>
          <w:rFonts w:asciiTheme="minorEastAsia" w:hAnsiTheme="minorEastAsia" w:eastAsiaTheme="minorEastAsia"/>
        </w:rPr>
      </w:pPr>
      <w:bookmarkStart w:id="11" w:name="_Toc91868750"/>
      <w:r>
        <w:rPr>
          <w:rFonts w:asciiTheme="minorEastAsia" w:hAnsiTheme="minorEastAsia" w:eastAsiaTheme="minorEastAsia"/>
        </w:rPr>
        <w:t>本合同系由甲方：广州鼎胜物流有限公司（广州市、广州经济技术开发区、东晖路81号）与乙方：</w:t>
      </w:r>
      <w:r>
        <w:rPr>
          <w:rFonts w:hint="eastAsia" w:asciiTheme="minorEastAsia" w:hAnsiTheme="minorEastAsia" w:eastAsiaTheme="minorEastAsia"/>
        </w:rPr>
        <w:t>###(</w:t>
      </w:r>
      <w:r>
        <w:rPr>
          <w:rFonts w:asciiTheme="minorEastAsia" w:hAnsiTheme="minorEastAsia" w:eastAsiaTheme="minorEastAsia"/>
        </w:rPr>
        <w:t>单位地址：</w:t>
      </w:r>
      <w:r>
        <w:rPr>
          <w:rFonts w:hint="eastAsia" w:asciiTheme="minorEastAsia" w:hAnsiTheme="minorEastAsia" w:eastAsiaTheme="minorEastAsia"/>
        </w:rPr>
        <w:t>###</w:t>
      </w:r>
      <w:r>
        <w:rPr>
          <w:rFonts w:asciiTheme="minorEastAsia" w:hAnsiTheme="minorEastAsia" w:eastAsiaTheme="minorEastAsia"/>
        </w:rPr>
        <w:t>）签</w:t>
      </w:r>
      <w:r>
        <w:rPr>
          <w:rFonts w:hint="eastAsia" w:asciiTheme="minorEastAsia" w:hAnsiTheme="minorEastAsia" w:eastAsiaTheme="minorEastAsia"/>
        </w:rPr>
        <w:t>订</w:t>
      </w:r>
      <w:r>
        <w:rPr>
          <w:rFonts w:asciiTheme="minorEastAsia" w:hAnsiTheme="minorEastAsia" w:eastAsiaTheme="minorEastAsia"/>
        </w:rPr>
        <w:t>。</w:t>
      </w:r>
      <w:bookmarkEnd w:id="11"/>
    </w:p>
    <w:p>
      <w:pPr>
        <w:pStyle w:val="3"/>
        <w:keepNext w:val="0"/>
        <w:keepLines w:val="0"/>
        <w:spacing w:before="156" w:after="50" w:afterAutospacing="0"/>
        <w:rPr>
          <w:rFonts w:asciiTheme="minorEastAsia" w:hAnsiTheme="minorEastAsia" w:eastAsiaTheme="minorEastAsia"/>
        </w:rPr>
      </w:pPr>
      <w:bookmarkStart w:id="12" w:name="_Toc91868752"/>
      <w:r>
        <w:rPr>
          <w:rFonts w:asciiTheme="minorEastAsia" w:hAnsiTheme="minorEastAsia" w:eastAsiaTheme="minorEastAsia"/>
        </w:rPr>
        <w:t>为了保证车辆维修质量，降低成本，互利互赢及规范机动车维修工作</w:t>
      </w:r>
      <w:r>
        <w:rPr>
          <w:rFonts w:hint="eastAsia" w:asciiTheme="minorEastAsia" w:hAnsiTheme="minorEastAsia" w:eastAsiaTheme="minorEastAsia"/>
        </w:rPr>
        <w:t>，</w:t>
      </w:r>
      <w:r>
        <w:rPr>
          <w:rFonts w:asciiTheme="minorEastAsia" w:hAnsiTheme="minorEastAsia" w:eastAsiaTheme="minorEastAsia"/>
        </w:rPr>
        <w:t>经甲、乙双方平等协商，</w:t>
      </w:r>
      <w:bookmarkEnd w:id="12"/>
      <w:r>
        <w:rPr>
          <w:rFonts w:asciiTheme="minorEastAsia" w:hAnsiTheme="minorEastAsia" w:eastAsiaTheme="minorEastAsia"/>
        </w:rPr>
        <w:t>订立本协议</w:t>
      </w:r>
      <w:r>
        <w:rPr>
          <w:rFonts w:hint="eastAsia" w:asciiTheme="minorEastAsia" w:hAnsiTheme="minorEastAsia" w:eastAsiaTheme="minorEastAsia"/>
        </w:rPr>
        <w:t>，</w:t>
      </w:r>
      <w:r>
        <w:rPr>
          <w:rFonts w:asciiTheme="minorEastAsia" w:hAnsiTheme="minorEastAsia" w:eastAsiaTheme="minorEastAsia"/>
        </w:rPr>
        <w:t>以便共同遵守。</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甲方责任及义务</w:t>
      </w:r>
    </w:p>
    <w:p>
      <w:pPr>
        <w:pStyle w:val="3"/>
        <w:keepNext w:val="0"/>
        <w:keepLines w:val="0"/>
        <w:spacing w:before="156" w:after="50" w:afterAutospacing="0"/>
        <w:rPr>
          <w:rFonts w:asciiTheme="minorEastAsia" w:hAnsiTheme="minorEastAsia" w:eastAsiaTheme="minorEastAsia"/>
        </w:rPr>
      </w:pPr>
      <w:bookmarkStart w:id="13" w:name="_Toc91868754"/>
      <w:r>
        <w:rPr>
          <w:rFonts w:asciiTheme="minorEastAsia" w:hAnsiTheme="minorEastAsia" w:eastAsiaTheme="minorEastAsia"/>
        </w:rPr>
        <w:t>甲方选定乙方作为其所选车辆的定点维修单位。</w:t>
      </w:r>
    </w:p>
    <w:p>
      <w:pPr>
        <w:pStyle w:val="3"/>
        <w:keepNext w:val="0"/>
        <w:keepLines w:val="0"/>
        <w:spacing w:before="156" w:after="50" w:afterAutospacing="0"/>
        <w:rPr>
          <w:rFonts w:asciiTheme="minorEastAsia" w:hAnsiTheme="minorEastAsia" w:eastAsiaTheme="minorEastAsia"/>
          <w:spacing w:val="4"/>
        </w:rPr>
      </w:pPr>
      <w:r>
        <w:rPr>
          <w:rFonts w:asciiTheme="minorEastAsia" w:hAnsiTheme="minorEastAsia" w:eastAsiaTheme="minorEastAsia"/>
        </w:rPr>
        <w:t>甲方车辆需在乙方维修时，凭甲方公司授权人签字或盖章的</w:t>
      </w:r>
      <w:r>
        <w:rPr>
          <w:rFonts w:hint="eastAsia" w:asciiTheme="minorEastAsia" w:hAnsiTheme="minorEastAsia" w:eastAsiaTheme="minorEastAsia"/>
        </w:rPr>
        <w:t>“</w:t>
      </w:r>
      <w:r>
        <w:rPr>
          <w:rFonts w:asciiTheme="minorEastAsia" w:hAnsiTheme="minorEastAsia" w:eastAsiaTheme="minorEastAsia"/>
        </w:rPr>
        <w:t>维修单</w:t>
      </w:r>
      <w:r>
        <w:rPr>
          <w:rFonts w:hint="eastAsia" w:asciiTheme="minorEastAsia" w:hAnsiTheme="minorEastAsia" w:eastAsiaTheme="minorEastAsia"/>
        </w:rPr>
        <w:t>”</w:t>
      </w:r>
      <w:r>
        <w:rPr>
          <w:rFonts w:asciiTheme="minorEastAsia" w:hAnsiTheme="minorEastAsia" w:eastAsiaTheme="minorEastAsia"/>
        </w:rPr>
        <w:t>（授权人如有变化，将立即通知乙方进行更改和备案）</w:t>
      </w:r>
      <w:r>
        <w:rPr>
          <w:rFonts w:hint="eastAsia" w:asciiTheme="minorEastAsia" w:hAnsiTheme="minorEastAsia" w:eastAsiaTheme="minorEastAsia"/>
        </w:rPr>
        <w:t>，</w:t>
      </w:r>
      <w:r>
        <w:rPr>
          <w:rFonts w:asciiTheme="minorEastAsia" w:hAnsiTheme="minorEastAsia" w:eastAsiaTheme="minorEastAsia"/>
        </w:rPr>
        <w:t>准确向乙方申报维修项目，</w:t>
      </w:r>
      <w:r>
        <w:rPr>
          <w:rFonts w:asciiTheme="minorEastAsia" w:hAnsiTheme="minorEastAsia" w:eastAsiaTheme="minorEastAsia"/>
          <w:spacing w:val="18"/>
        </w:rPr>
        <w:t>积</w:t>
      </w:r>
      <w:r>
        <w:rPr>
          <w:rFonts w:asciiTheme="minorEastAsia" w:hAnsiTheme="minorEastAsia" w:eastAsiaTheme="minorEastAsia"/>
          <w:spacing w:val="4"/>
        </w:rPr>
        <w:t>极配合乙方对送修车辆进行检测。</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按照车辆的维修保养周期，定期到乙方进行检测。</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定点车辆驾驶员应正常操作</w:t>
      </w:r>
      <w:r>
        <w:rPr>
          <w:rFonts w:hint="eastAsia" w:asciiTheme="minorEastAsia" w:hAnsiTheme="minorEastAsia" w:eastAsiaTheme="minorEastAsia"/>
        </w:rPr>
        <w:t>、</w:t>
      </w:r>
      <w:r>
        <w:rPr>
          <w:rFonts w:asciiTheme="minorEastAsia" w:hAnsiTheme="minorEastAsia" w:eastAsiaTheme="minorEastAsia"/>
        </w:rPr>
        <w:t>规范驾驶，行驶中发现异常，如水温高和油警告灯亮等，应立即停车，通知乙方处理。</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接受乙方定期质量跟踪回访。</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乙方责任及义务</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为甲方车辆建立详细的车辆档案及维修档案</w:t>
      </w:r>
      <w:r>
        <w:rPr>
          <w:rFonts w:hint="eastAsia" w:asciiTheme="minorEastAsia" w:hAnsiTheme="minorEastAsia" w:eastAsiaTheme="minorEastAsia"/>
        </w:rPr>
        <w:t>，对车辆定期检测、定期维护、及合理改造。</w:t>
      </w:r>
      <w:r>
        <w:rPr>
          <w:rFonts w:cs="Arial" w:asciiTheme="minorEastAsia" w:hAnsiTheme="minorEastAsia" w:eastAsiaTheme="minorEastAsia"/>
          <w:szCs w:val="21"/>
          <w:shd w:val="clear" w:color="auto" w:fill="FFFFFF"/>
        </w:rPr>
        <w:t>维修档案应当包括：维修合同、维修项目、维修人员及维修结算清单等。对车</w:t>
      </w:r>
      <w:r>
        <w:rPr>
          <w:rFonts w:hint="eastAsia" w:cs="Arial" w:asciiTheme="minorEastAsia" w:hAnsiTheme="minorEastAsia" w:eastAsiaTheme="minorEastAsia"/>
          <w:szCs w:val="21"/>
          <w:shd w:val="clear" w:color="auto" w:fill="FFFFFF"/>
        </w:rPr>
        <w:t>辆</w:t>
      </w:r>
      <w:r>
        <w:rPr>
          <w:rFonts w:cs="Arial" w:asciiTheme="minorEastAsia" w:hAnsiTheme="minorEastAsia" w:eastAsiaTheme="minorEastAsia"/>
          <w:szCs w:val="21"/>
          <w:shd w:val="clear" w:color="auto" w:fill="FFFFFF"/>
        </w:rPr>
        <w:t>进行二级维护、总成</w:t>
      </w:r>
      <w:r>
        <w:rPr>
          <w:rFonts w:hint="eastAsia" w:cs="Arial" w:asciiTheme="minorEastAsia" w:hAnsiTheme="minorEastAsia" w:eastAsiaTheme="minorEastAsia"/>
          <w:szCs w:val="21"/>
          <w:shd w:val="clear" w:color="auto" w:fill="FFFFFF"/>
        </w:rPr>
        <w:t>大</w:t>
      </w:r>
      <w:r>
        <w:rPr>
          <w:rFonts w:cs="Arial" w:asciiTheme="minorEastAsia" w:hAnsiTheme="minorEastAsia" w:eastAsiaTheme="minorEastAsia"/>
          <w:szCs w:val="21"/>
          <w:shd w:val="clear" w:color="auto" w:fill="FFFFFF"/>
        </w:rPr>
        <w:t>修、整车修理的，维修档案还应当包括：质量检验单、质量检验人员、竣工出厂合格证（副本）等</w:t>
      </w:r>
      <w:r>
        <w:rPr>
          <w:rFonts w:hint="eastAsia" w:cs="Arial" w:asciiTheme="minorEastAsia" w:hAnsiTheme="minorEastAsia" w:eastAsiaTheme="minorEastAsia"/>
          <w:szCs w:val="21"/>
          <w:shd w:val="clear" w:color="auto" w:fill="FFFFFF"/>
        </w:rPr>
        <w:t>。</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为甲方车辆维修提供原厂配件，保证所</w:t>
      </w:r>
      <w:r>
        <w:rPr>
          <w:rFonts w:hint="eastAsia" w:asciiTheme="minorEastAsia" w:hAnsiTheme="minorEastAsia" w:eastAsiaTheme="minorEastAsia"/>
        </w:rPr>
        <w:t>用</w:t>
      </w:r>
      <w:r>
        <w:rPr>
          <w:rFonts w:asciiTheme="minorEastAsia" w:hAnsiTheme="minorEastAsia" w:eastAsiaTheme="minorEastAsia"/>
        </w:rPr>
        <w:t>零配件符合国家标准</w:t>
      </w:r>
      <w:r>
        <w:rPr>
          <w:rFonts w:hint="eastAsia" w:asciiTheme="minorEastAsia" w:hAnsiTheme="minorEastAsia" w:eastAsiaTheme="minorEastAsia"/>
        </w:rPr>
        <w:t>。</w:t>
      </w:r>
      <w:r>
        <w:rPr>
          <w:rFonts w:asciiTheme="minorEastAsia" w:hAnsiTheme="minorEastAsia" w:eastAsiaTheme="minorEastAsia"/>
        </w:rPr>
        <w:t xml:space="preserve"> 在不影响行驶安全的情况下，经</w:t>
      </w:r>
      <w:r>
        <w:rPr>
          <w:rFonts w:hint="eastAsia" w:asciiTheme="minorEastAsia" w:hAnsiTheme="minorEastAsia" w:eastAsiaTheme="minorEastAsia"/>
        </w:rPr>
        <w:t>过</w:t>
      </w:r>
      <w:r>
        <w:rPr>
          <w:rFonts w:asciiTheme="minorEastAsia" w:hAnsiTheme="minorEastAsia" w:eastAsiaTheme="minorEastAsia"/>
        </w:rPr>
        <w:t>甲方同意，乙方方可以使用原厂之外其它专业厂家生产的配件或拆车件</w:t>
      </w:r>
      <w:r>
        <w:rPr>
          <w:rFonts w:hint="eastAsia" w:asciiTheme="minorEastAsia" w:hAnsiTheme="minorEastAsia" w:eastAsiaTheme="minorEastAsia"/>
        </w:rPr>
        <w:t>。</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对送修车辆应保证质量，按时完工，在维修过程中如发现其它故障需增加维修项目而延长维修期限时，应及时通知甲方，征得甲方同意后方可作业。</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守法经营，按章办事，遵循诚实守信原则，认真做好车辆维修任务，杜绝不良行为、维护甲方的权益。</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甲方车辆在市区内抛锚，乙方必须</w:t>
      </w:r>
      <w:r>
        <w:rPr>
          <w:rFonts w:hint="eastAsia" w:asciiTheme="minorEastAsia" w:hAnsiTheme="minorEastAsia" w:eastAsiaTheme="minorEastAsia"/>
        </w:rPr>
        <w:t>在2-3小时内到达救援现场进行应急服务.</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spacing w:val="18"/>
        </w:rPr>
        <w:t> </w:t>
      </w:r>
      <w:r>
        <w:rPr>
          <w:rFonts w:asciiTheme="minorEastAsia" w:hAnsiTheme="minorEastAsia" w:eastAsiaTheme="minorEastAsia"/>
        </w:rPr>
        <w:t>乙方提供上门接送报修车服务。</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甲方的权利</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甲方有权对乙方的维修情况进行监督。</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对竣工车辆，甲方如发现有不合格，有权要求乙方无偿及时返工</w:t>
      </w:r>
      <w:r>
        <w:rPr>
          <w:rFonts w:hint="eastAsia" w:asciiTheme="minorEastAsia" w:hAnsiTheme="minorEastAsia" w:eastAsiaTheme="minorEastAsia"/>
        </w:rPr>
        <w:t>。</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乙方的权利</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乙方有权拒绝甲方提出的除维修服务及乙方承诺外的其他要求。</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如因甲方拖欠维修费而造成的维修项目不按时完工，其责任由甲方负责。</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合同服务范围</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bCs/>
          <w:kern w:val="32"/>
        </w:rPr>
      </w:pPr>
      <w:r>
        <w:rPr>
          <w:rFonts w:cs="Times New Roman" w:asciiTheme="minorEastAsia" w:hAnsiTheme="minorEastAsia" w:eastAsiaTheme="minorEastAsia"/>
          <w:bCs/>
          <w:kern w:val="32"/>
        </w:rPr>
        <w:t>本合同服务范围</w:t>
      </w:r>
      <w:r>
        <w:rPr>
          <w:rFonts w:hint="eastAsia" w:cs="Times New Roman" w:asciiTheme="minorEastAsia" w:hAnsiTheme="minorEastAsia" w:eastAsiaTheme="minorEastAsia"/>
          <w:bCs/>
          <w:kern w:val="32"/>
        </w:rPr>
        <w:t>：五台牵引车及五台半挂车的</w:t>
      </w:r>
      <w:r>
        <w:rPr>
          <w:rFonts w:cs="Times New Roman" w:asciiTheme="minorEastAsia" w:hAnsiTheme="minorEastAsia" w:eastAsiaTheme="minorEastAsia"/>
          <w:bCs/>
          <w:kern w:val="32"/>
        </w:rPr>
        <w:t>大修、各级维护、小修、中修、车辆年检等服务项目维修。</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送修手续</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送修车辆时，甲方经办人必须按照要求填写</w:t>
      </w:r>
      <w:r>
        <w:rPr>
          <w:rFonts w:hint="eastAsia" w:asciiTheme="minorEastAsia" w:hAnsiTheme="minorEastAsia" w:eastAsiaTheme="minorEastAsia"/>
        </w:rPr>
        <w:t>“</w:t>
      </w:r>
      <w:r>
        <w:rPr>
          <w:rFonts w:asciiTheme="minorEastAsia" w:hAnsiTheme="minorEastAsia" w:eastAsiaTheme="minorEastAsia"/>
        </w:rPr>
        <w:t>车辆维修申请单</w:t>
      </w:r>
      <w:r>
        <w:rPr>
          <w:rFonts w:hint="eastAsia" w:asciiTheme="minorEastAsia" w:hAnsiTheme="minorEastAsia" w:eastAsiaTheme="minorEastAsia"/>
        </w:rPr>
        <w:t>”</w:t>
      </w:r>
      <w:r>
        <w:rPr>
          <w:rFonts w:asciiTheme="minorEastAsia" w:hAnsiTheme="minorEastAsia" w:eastAsiaTheme="minorEastAsia"/>
        </w:rPr>
        <w:t>（以下简称</w:t>
      </w:r>
      <w:r>
        <w:rPr>
          <w:rFonts w:hint="eastAsia" w:asciiTheme="minorEastAsia" w:hAnsiTheme="minorEastAsia" w:eastAsiaTheme="minorEastAsia"/>
        </w:rPr>
        <w:t>“</w:t>
      </w:r>
      <w:r>
        <w:rPr>
          <w:rFonts w:asciiTheme="minorEastAsia" w:hAnsiTheme="minorEastAsia" w:eastAsiaTheme="minorEastAsia"/>
        </w:rPr>
        <w:t>维修单</w:t>
      </w:r>
      <w:r>
        <w:rPr>
          <w:rFonts w:hint="eastAsia" w:asciiTheme="minorEastAsia" w:hAnsiTheme="minorEastAsia" w:eastAsiaTheme="minorEastAsia"/>
        </w:rPr>
        <w:t>”</w:t>
      </w:r>
      <w:r>
        <w:rPr>
          <w:rFonts w:asciiTheme="minorEastAsia" w:hAnsiTheme="minorEastAsia" w:eastAsiaTheme="minorEastAsia"/>
        </w:rPr>
        <w:t>）。维修单上应填写清楚送修车辆的品牌型号、车辆牌照号、累计行驶里程、维修项目，经甲方经办人签字后交乙方，乙方凭此单确认项目的接修。</w:t>
      </w:r>
      <w:r>
        <w:rPr>
          <w:rFonts w:hint="eastAsia" w:asciiTheme="minorEastAsia" w:hAnsiTheme="minorEastAsia" w:eastAsiaTheme="minorEastAsia"/>
        </w:rPr>
        <w:t>或者,甲方经办人发邮件给乙方,告知故障情况,由乙方进行详细检查。</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乙方在维修过程中发现其他（维修计划以外）的故障，必须及时将情况反映给甲方，在取得甲方同意后方可继续修理。</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对甲方车辆乙方应以修复为主，能不更换的零部件尽量不予更换，确实不能修复或修复价值不高的零部件，在征得甲方同意后方可更换。</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车辆竣工交接手续</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乙方维修车辆结束后，须填写</w:t>
      </w:r>
      <w:r>
        <w:rPr>
          <w:rFonts w:hint="eastAsia" w:asciiTheme="minorEastAsia" w:hAnsiTheme="minorEastAsia" w:eastAsiaTheme="minorEastAsia"/>
        </w:rPr>
        <w:t>“</w:t>
      </w:r>
      <w:bookmarkStart w:id="14" w:name="OLE_LINK3"/>
      <w:bookmarkStart w:id="15" w:name="OLE_LINK4"/>
      <w:r>
        <w:rPr>
          <w:rFonts w:asciiTheme="minorEastAsia" w:hAnsiTheme="minorEastAsia" w:eastAsiaTheme="minorEastAsia"/>
        </w:rPr>
        <w:t>车辆维修结算单</w:t>
      </w:r>
      <w:bookmarkEnd w:id="14"/>
      <w:bookmarkEnd w:id="15"/>
      <w:r>
        <w:rPr>
          <w:rFonts w:hint="eastAsia" w:asciiTheme="minorEastAsia" w:hAnsiTheme="minorEastAsia" w:eastAsiaTheme="minorEastAsia"/>
        </w:rPr>
        <w:t>”</w:t>
      </w:r>
      <w:r>
        <w:rPr>
          <w:rFonts w:asciiTheme="minorEastAsia" w:hAnsiTheme="minorEastAsia" w:eastAsiaTheme="minorEastAsia"/>
        </w:rPr>
        <w:t>（以下简称</w:t>
      </w:r>
      <w:r>
        <w:rPr>
          <w:rFonts w:hint="eastAsia" w:asciiTheme="minorEastAsia" w:hAnsiTheme="minorEastAsia" w:eastAsiaTheme="minorEastAsia"/>
        </w:rPr>
        <w:t>“</w:t>
      </w:r>
      <w:r>
        <w:rPr>
          <w:rFonts w:asciiTheme="minorEastAsia" w:hAnsiTheme="minorEastAsia" w:eastAsiaTheme="minorEastAsia"/>
        </w:rPr>
        <w:t>结算清单</w:t>
      </w:r>
      <w:r>
        <w:rPr>
          <w:rFonts w:hint="eastAsia" w:asciiTheme="minorEastAsia" w:hAnsiTheme="minorEastAsia" w:eastAsiaTheme="minorEastAsia"/>
        </w:rPr>
        <w:t>”</w:t>
      </w:r>
      <w:r>
        <w:rPr>
          <w:rFonts w:asciiTheme="minorEastAsia" w:hAnsiTheme="minorEastAsia" w:eastAsiaTheme="minorEastAsia"/>
        </w:rPr>
        <w:t>），认真填写车辆维修的具体部位和消耗的材料、部件、计价情况、工时费及质量保证期，交甲方经办人审核签字。此单多联复写备查。</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甲方应仔细检查竣工车辆，如维修结果符合送修要求、维修费计算合理，甲方经办人应在</w:t>
      </w:r>
      <w:r>
        <w:rPr>
          <w:rFonts w:hint="eastAsia" w:asciiTheme="minorEastAsia" w:hAnsiTheme="minorEastAsia" w:eastAsiaTheme="minorEastAsia"/>
        </w:rPr>
        <w:t>“</w:t>
      </w:r>
      <w:r>
        <w:rPr>
          <w:rFonts w:asciiTheme="minorEastAsia" w:hAnsiTheme="minorEastAsia" w:eastAsiaTheme="minorEastAsia"/>
        </w:rPr>
        <w:t>结算清单</w:t>
      </w:r>
      <w:r>
        <w:rPr>
          <w:rFonts w:hint="eastAsia" w:asciiTheme="minorEastAsia" w:hAnsiTheme="minorEastAsia" w:eastAsiaTheme="minorEastAsia"/>
        </w:rPr>
        <w:t>”</w:t>
      </w:r>
      <w:r>
        <w:rPr>
          <w:rFonts w:asciiTheme="minorEastAsia" w:hAnsiTheme="minorEastAsia" w:eastAsiaTheme="minorEastAsia"/>
        </w:rPr>
        <w:t>上签字认可；如果修理结果不符合送修要求、维修费用计算不合理，或发现使用不符合要求的配件材料，甲方应以书面形式向乙方提出存在的问题，</w:t>
      </w:r>
      <w:r>
        <w:rPr>
          <w:rFonts w:hint="eastAsia" w:asciiTheme="minorEastAsia" w:hAnsiTheme="minorEastAsia" w:eastAsiaTheme="minorEastAsia"/>
        </w:rPr>
        <w:t>乙方须免费整改至甲方认可，若双方意见不一致时，</w:t>
      </w:r>
      <w:r>
        <w:rPr>
          <w:rFonts w:asciiTheme="minorEastAsia" w:hAnsiTheme="minorEastAsia" w:eastAsiaTheme="minorEastAsia"/>
        </w:rPr>
        <w:t>甲方可报请法定检验机构进行检验</w:t>
      </w:r>
      <w:r>
        <w:rPr>
          <w:rFonts w:hint="eastAsia" w:asciiTheme="minorEastAsia" w:hAnsiTheme="minorEastAsia" w:eastAsiaTheme="minorEastAsia"/>
        </w:rPr>
        <w:t>，检验费用由乙方承担。</w:t>
      </w:r>
    </w:p>
    <w:p>
      <w:pPr>
        <w:pStyle w:val="3"/>
        <w:keepNext w:val="0"/>
        <w:keepLines w:val="0"/>
        <w:spacing w:before="156" w:after="50" w:afterAutospacing="0"/>
        <w:rPr>
          <w:rFonts w:asciiTheme="minorEastAsia" w:hAnsiTheme="minorEastAsia" w:eastAsiaTheme="minorEastAsia"/>
        </w:rPr>
      </w:pPr>
      <w:r>
        <w:rPr>
          <w:rFonts w:hint="eastAsia" w:asciiTheme="minorEastAsia" w:hAnsiTheme="minorEastAsia" w:eastAsiaTheme="minorEastAsia"/>
        </w:rPr>
        <w:t>维修过程</w:t>
      </w:r>
      <w:r>
        <w:rPr>
          <w:rFonts w:asciiTheme="minorEastAsia" w:hAnsiTheme="minorEastAsia" w:eastAsiaTheme="minorEastAsia"/>
        </w:rPr>
        <w:t>更换的旧件应退还甲方。</w:t>
      </w:r>
    </w:p>
    <w:p>
      <w:pPr>
        <w:pStyle w:val="3"/>
        <w:keepNext w:val="0"/>
        <w:keepLines w:val="0"/>
        <w:spacing w:before="156" w:after="50" w:afterAutospacing="0"/>
        <w:rPr>
          <w:rFonts w:hint="eastAsia" w:asciiTheme="minorEastAsia" w:hAnsiTheme="minorEastAsia" w:eastAsiaTheme="minorEastAsia"/>
        </w:rPr>
      </w:pPr>
      <w:r>
        <w:rPr>
          <w:rFonts w:hint="eastAsia" w:asciiTheme="minorEastAsia" w:hAnsiTheme="minorEastAsia" w:eastAsiaTheme="minorEastAsia"/>
        </w:rPr>
        <w:t>乙方在向甲方交接竣工车辆时，应将“结算清单”联一同交甲方。</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维修费用及结算方式</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维修费用应包括：工时费、材料费和税金。</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本合同以人民币结算。</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乙方每月根据甲方验收人员签章的结算清单汇总后与甲方结算</w:t>
      </w:r>
      <w:r>
        <w:rPr>
          <w:rFonts w:hint="eastAsia" w:asciiTheme="minorEastAsia" w:hAnsiTheme="minorEastAsia" w:eastAsiaTheme="minorEastAsia"/>
        </w:rPr>
        <w:t>。</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w:t>
      </w:r>
      <w:r>
        <w:rPr>
          <w:rFonts w:hint="eastAsia" w:asciiTheme="minorEastAsia" w:hAnsiTheme="minorEastAsia" w:eastAsiaTheme="minorEastAsia"/>
        </w:rPr>
        <w:t>收到</w:t>
      </w:r>
      <w:r>
        <w:rPr>
          <w:rFonts w:asciiTheme="minorEastAsia" w:hAnsiTheme="minorEastAsia" w:eastAsiaTheme="minorEastAsia"/>
        </w:rPr>
        <w:t>乙方提交的正式发票后支付款项</w:t>
      </w:r>
      <w:r>
        <w:rPr>
          <w:rFonts w:hint="eastAsia" w:asciiTheme="minorEastAsia" w:hAnsiTheme="minorEastAsia" w:eastAsiaTheme="minorEastAsia"/>
        </w:rPr>
        <w:t>。</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质量保证</w:t>
      </w:r>
    </w:p>
    <w:p>
      <w:pPr>
        <w:pStyle w:val="3"/>
        <w:keepNext w:val="0"/>
        <w:keepLines w:val="0"/>
        <w:spacing w:before="156" w:after="50" w:afterAutospacing="0"/>
        <w:rPr>
          <w:rFonts w:asciiTheme="minorEastAsia" w:hAnsiTheme="minorEastAsia" w:eastAsiaTheme="minorEastAsia"/>
        </w:rPr>
      </w:pPr>
      <w:r>
        <w:rPr>
          <w:rFonts w:hint="eastAsia" w:asciiTheme="minorEastAsia" w:hAnsiTheme="minorEastAsia" w:eastAsiaTheme="minorEastAsia"/>
        </w:rPr>
        <w:t>车辆维修实行竣工出厂保修期</w:t>
      </w:r>
      <w:r>
        <w:rPr>
          <w:rFonts w:cs="Arial" w:asciiTheme="minorEastAsia" w:hAnsiTheme="minorEastAsia" w:eastAsiaTheme="minorEastAsia"/>
          <w:szCs w:val="21"/>
          <w:shd w:val="clear" w:color="auto" w:fill="FFFFFF"/>
        </w:rPr>
        <w:t>制度。</w:t>
      </w:r>
      <w:r>
        <w:rPr>
          <w:rFonts w:cs="Arial" w:asciiTheme="minorEastAsia" w:hAnsiTheme="minorEastAsia" w:eastAsiaTheme="minorEastAsia"/>
          <w:shd w:val="clear" w:color="auto" w:fill="FFFFFF"/>
        </w:rPr>
        <w:t>整车</w:t>
      </w:r>
      <w:r>
        <w:rPr>
          <w:rFonts w:hint="eastAsia" w:cs="Arial" w:asciiTheme="minorEastAsia" w:hAnsiTheme="minorEastAsia" w:eastAsiaTheme="minorEastAsia"/>
          <w:shd w:val="clear" w:color="auto" w:fill="FFFFFF"/>
        </w:rPr>
        <w:t>大</w:t>
      </w:r>
      <w:r>
        <w:rPr>
          <w:rFonts w:cs="Arial" w:asciiTheme="minorEastAsia" w:hAnsiTheme="minorEastAsia" w:eastAsiaTheme="minorEastAsia"/>
          <w:shd w:val="clear" w:color="auto" w:fill="FFFFFF"/>
        </w:rPr>
        <w:t>修</w:t>
      </w:r>
      <w:r>
        <w:rPr>
          <w:rFonts w:hint="eastAsia" w:cs="Arial" w:asciiTheme="minorEastAsia" w:hAnsiTheme="minorEastAsia" w:eastAsiaTheme="minorEastAsia"/>
          <w:shd w:val="clear" w:color="auto" w:fill="FFFFFF"/>
        </w:rPr>
        <w:t xml:space="preserve">、 </w:t>
      </w:r>
      <w:r>
        <w:rPr>
          <w:rFonts w:cs="Arial" w:asciiTheme="minorEastAsia" w:hAnsiTheme="minorEastAsia" w:eastAsiaTheme="minorEastAsia"/>
          <w:shd w:val="clear" w:color="auto" w:fill="FFFFFF"/>
        </w:rPr>
        <w:t>总成</w:t>
      </w:r>
      <w:r>
        <w:rPr>
          <w:rFonts w:hint="eastAsia" w:cs="Arial" w:asciiTheme="minorEastAsia" w:hAnsiTheme="minorEastAsia" w:eastAsiaTheme="minorEastAsia"/>
          <w:shd w:val="clear" w:color="auto" w:fill="FFFFFF"/>
        </w:rPr>
        <w:t>大修、空调修理，</w:t>
      </w:r>
      <w:r>
        <w:rPr>
          <w:rFonts w:cs="Arial" w:asciiTheme="minorEastAsia" w:hAnsiTheme="minorEastAsia" w:eastAsiaTheme="minorEastAsia"/>
          <w:shd w:val="clear" w:color="auto" w:fill="FFFFFF"/>
        </w:rPr>
        <w:t>质量保证期为</w:t>
      </w:r>
      <w:r>
        <w:rPr>
          <w:rFonts w:hint="eastAsia" w:cs="Arial" w:asciiTheme="minorEastAsia" w:hAnsiTheme="minorEastAsia" w:eastAsiaTheme="minorEastAsia"/>
          <w:shd w:val="clear" w:color="auto" w:fill="FFFFFF"/>
        </w:rPr>
        <w:t>车辆</w:t>
      </w:r>
      <w:r>
        <w:rPr>
          <w:rFonts w:cs="Arial" w:asciiTheme="minorEastAsia" w:hAnsiTheme="minorEastAsia" w:eastAsiaTheme="minorEastAsia"/>
          <w:shd w:val="clear" w:color="auto" w:fill="FFFFFF"/>
        </w:rPr>
        <w:t>行驶</w:t>
      </w:r>
      <w:r>
        <w:rPr>
          <w:rFonts w:hint="eastAsia" w:cs="Arial" w:asciiTheme="minorEastAsia" w:hAnsiTheme="minorEastAsia" w:eastAsiaTheme="minorEastAsia"/>
          <w:shd w:val="clear" w:color="auto" w:fill="FFFFFF"/>
        </w:rPr>
        <w:t>20000</w:t>
      </w:r>
      <w:r>
        <w:rPr>
          <w:rFonts w:cs="Arial" w:asciiTheme="minorEastAsia" w:hAnsiTheme="minorEastAsia" w:eastAsiaTheme="minorEastAsia"/>
          <w:shd w:val="clear" w:color="auto" w:fill="FFFFFF"/>
        </w:rPr>
        <w:t>公里或者</w:t>
      </w:r>
      <w:r>
        <w:rPr>
          <w:rFonts w:hint="eastAsia" w:cs="Arial" w:asciiTheme="minorEastAsia" w:hAnsiTheme="minorEastAsia" w:eastAsiaTheme="minorEastAsia"/>
          <w:shd w:val="clear" w:color="auto" w:fill="FFFFFF"/>
        </w:rPr>
        <w:t>180天</w:t>
      </w:r>
      <w:r>
        <w:rPr>
          <w:rFonts w:cs="Arial" w:asciiTheme="minorEastAsia" w:hAnsiTheme="minorEastAsia" w:eastAsiaTheme="minorEastAsia"/>
          <w:shd w:val="clear" w:color="auto" w:fill="FFFFFF"/>
        </w:rPr>
        <w:t>；维护、小修及专项修理质量保证期为</w:t>
      </w:r>
      <w:r>
        <w:rPr>
          <w:rFonts w:hint="eastAsia" w:cs="Arial" w:asciiTheme="minorEastAsia" w:hAnsiTheme="minorEastAsia" w:eastAsiaTheme="minorEastAsia"/>
          <w:shd w:val="clear" w:color="auto" w:fill="FFFFFF"/>
        </w:rPr>
        <w:t>车辆</w:t>
      </w:r>
      <w:r>
        <w:rPr>
          <w:rFonts w:cs="Arial" w:asciiTheme="minorEastAsia" w:hAnsiTheme="minorEastAsia" w:eastAsiaTheme="minorEastAsia"/>
          <w:shd w:val="clear" w:color="auto" w:fill="FFFFFF"/>
        </w:rPr>
        <w:t>行驶</w:t>
      </w:r>
      <w:r>
        <w:rPr>
          <w:rFonts w:hint="eastAsia" w:cs="Arial" w:asciiTheme="minorEastAsia" w:hAnsiTheme="minorEastAsia" w:eastAsiaTheme="minorEastAsia"/>
          <w:shd w:val="clear" w:color="auto" w:fill="FFFFFF"/>
        </w:rPr>
        <w:t>10000</w:t>
      </w:r>
      <w:r>
        <w:rPr>
          <w:rFonts w:cs="Arial" w:asciiTheme="minorEastAsia" w:hAnsiTheme="minorEastAsia" w:eastAsiaTheme="minorEastAsia"/>
          <w:shd w:val="clear" w:color="auto" w:fill="FFFFFF"/>
        </w:rPr>
        <w:t>公里或者</w:t>
      </w:r>
      <w:r>
        <w:rPr>
          <w:rFonts w:hint="eastAsia" w:cs="Arial" w:asciiTheme="minorEastAsia" w:hAnsiTheme="minorEastAsia" w:eastAsiaTheme="minorEastAsia"/>
          <w:shd w:val="clear" w:color="auto" w:fill="FFFFFF"/>
        </w:rPr>
        <w:t>90天</w:t>
      </w:r>
      <w:r>
        <w:rPr>
          <w:rFonts w:cs="Arial" w:asciiTheme="minorEastAsia" w:hAnsiTheme="minorEastAsia" w:eastAsiaTheme="minorEastAsia"/>
          <w:shd w:val="clear" w:color="auto" w:fill="FFFFFF"/>
        </w:rPr>
        <w:t>。质量保证期中行驶里程和日期指标，以先达到者为准。机动车维修质量保证期，从维修竣工出厂之日起计算</w:t>
      </w:r>
      <w:r>
        <w:rPr>
          <w:rFonts w:hint="eastAsia" w:cs="Arial" w:asciiTheme="minorEastAsia" w:hAnsiTheme="minorEastAsia" w:eastAsiaTheme="minorEastAsia"/>
          <w:shd w:val="clear" w:color="auto" w:fill="FFFFFF"/>
        </w:rPr>
        <w:t>，雨刮片、刹车片、离合片、玻璃、轮胎等易损件不在保修范围内，甲方必须在</w:t>
      </w:r>
      <w:r>
        <w:rPr>
          <w:rFonts w:asciiTheme="minorEastAsia" w:hAnsiTheme="minorEastAsia" w:eastAsiaTheme="minorEastAsia"/>
        </w:rPr>
        <w:t>车辆维修结算单</w:t>
      </w:r>
      <w:r>
        <w:rPr>
          <w:rFonts w:hint="eastAsia" w:asciiTheme="minorEastAsia" w:hAnsiTheme="minorEastAsia" w:eastAsiaTheme="minorEastAsia"/>
        </w:rPr>
        <w:t>上填写</w:t>
      </w:r>
      <w:r>
        <w:rPr>
          <w:rFonts w:hint="eastAsia" w:cs="Arial" w:asciiTheme="minorEastAsia" w:hAnsiTheme="minorEastAsia" w:eastAsiaTheme="minorEastAsia"/>
          <w:shd w:val="clear" w:color="auto" w:fill="FFFFFF"/>
        </w:rPr>
        <w:t>维修质保期。</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在甲、乙双方约定的质量保证里程和时间内，因维修质量造成的机械事故和经济损失，全部由乙方负责。</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乙方应对维修合格出厂的车辆提供质量保证。</w:t>
      </w:r>
      <w:r>
        <w:rPr>
          <w:rFonts w:hint="eastAsia" w:asciiTheme="minorEastAsia" w:hAnsiTheme="minorEastAsia" w:eastAsiaTheme="minorEastAsia"/>
        </w:rPr>
        <w:t>车辆大修、总成大修、二级维护等，维修出厂实行出厂合格证制度，维修不合格的车辆不准出厂。乙方在车辆维修出厂时必须按出厂技术条件进行检测并向甲方提供由出厂检验员签发的出厂合格证。</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乙方应保证维修所用材料是未使用过的原厂生产的合格正品</w:t>
      </w:r>
      <w:r>
        <w:rPr>
          <w:rFonts w:hint="eastAsia" w:asciiTheme="minorEastAsia" w:hAnsiTheme="minorEastAsia" w:eastAsiaTheme="minorEastAsia"/>
        </w:rPr>
        <w:t>（</w:t>
      </w:r>
      <w:r>
        <w:rPr>
          <w:rFonts w:asciiTheme="minorEastAsia" w:hAnsiTheme="minorEastAsia" w:eastAsiaTheme="minorEastAsia"/>
        </w:rPr>
        <w:t>如确需使用付厂产品或旧拆车件的</w:t>
      </w:r>
      <w:r>
        <w:rPr>
          <w:rFonts w:hint="eastAsia" w:asciiTheme="minorEastAsia" w:hAnsiTheme="minorEastAsia" w:eastAsiaTheme="minorEastAsia"/>
        </w:rPr>
        <w:t>，</w:t>
      </w:r>
      <w:r>
        <w:rPr>
          <w:rFonts w:asciiTheme="minorEastAsia" w:hAnsiTheme="minorEastAsia" w:eastAsiaTheme="minorEastAsia"/>
        </w:rPr>
        <w:t>必须经甲方同意后方可使用</w:t>
      </w:r>
      <w:r>
        <w:rPr>
          <w:rFonts w:hint="eastAsia" w:asciiTheme="minorEastAsia" w:hAnsiTheme="minorEastAsia" w:eastAsiaTheme="minorEastAsia"/>
        </w:rPr>
        <w:t>）</w:t>
      </w:r>
      <w:r>
        <w:rPr>
          <w:rFonts w:asciiTheme="minorEastAsia" w:hAnsiTheme="minorEastAsia" w:eastAsiaTheme="minorEastAsia"/>
        </w:rPr>
        <w:t>，并完全符合合同规定的质量和性能要求。乙方应保证使用的配件材料在正确安装、正常使用和保养条件下，在其使用寿命期内具有满意的性能。维修车辆移交甲方后，在质量保证期内，乙方应对由于维修技术、工艺或配件材料的缺陷以及其他由于乙方的原因而发生的任何不足或故障负责，费用由乙方负担。根据法定检验机构的检验结果或在质量保证期内，如果证明维修是有缺陷的，包括潜在的缺陷或使用不符合要求的配件材料等，甲方将以书面形式向乙方提出本保证下的索赔。</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如果乙方在收到索赔通知后，在合同中所附服务承诺约定的时间内没有采取措施，甲方可采取必要的补救措施，但风险和费用将由乙方承担</w:t>
      </w:r>
      <w:r>
        <w:rPr>
          <w:rFonts w:hint="eastAsia" w:asciiTheme="minorEastAsia" w:hAnsiTheme="minorEastAsia" w:eastAsiaTheme="minorEastAsia"/>
        </w:rPr>
        <w:t>。</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索赔</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甲方有权根据法定检验机构出具的车辆维修质量检验报告向乙方提出索赔。</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在合同规定的质量保证期内，如果乙方对甲方提出的索赔负有责任，乙方应按照甲方同意的下列任一种或多种方式解决索赔事宜：</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kern w:val="32"/>
        </w:rPr>
      </w:pPr>
      <w:r>
        <w:rPr>
          <w:rFonts w:cs="Times New Roman" w:asciiTheme="minorEastAsia" w:hAnsiTheme="minorEastAsia" w:eastAsiaTheme="minorEastAsia"/>
          <w:bCs/>
          <w:kern w:val="32"/>
        </w:rPr>
        <w:t>（1）</w:t>
      </w:r>
      <w:r>
        <w:rPr>
          <w:rFonts w:cs="Times New Roman" w:asciiTheme="minorEastAsia" w:hAnsiTheme="minorEastAsia" w:eastAsiaTheme="minorEastAsia"/>
          <w:kern w:val="32"/>
        </w:rPr>
        <w:t>乙方同意免收该次维修的维修费用，并承担由此发生的一些损失和费用。</w:t>
      </w:r>
    </w:p>
    <w:p>
      <w:pPr>
        <w:pStyle w:val="30"/>
        <w:widowControl w:val="0"/>
        <w:shd w:val="clear" w:color="auto" w:fill="FFFFFF"/>
        <w:adjustRightInd w:val="0"/>
        <w:snapToGrid w:val="0"/>
        <w:spacing w:before="0" w:beforeAutospacing="0" w:after="50" w:afterAutospacing="0"/>
        <w:ind w:left="600" w:hanging="600" w:hangingChars="250"/>
        <w:rPr>
          <w:rFonts w:cs="Times New Roman" w:asciiTheme="minorEastAsia" w:hAnsiTheme="minorEastAsia" w:eastAsiaTheme="minorEastAsia"/>
          <w:kern w:val="32"/>
        </w:rPr>
      </w:pPr>
      <w:r>
        <w:rPr>
          <w:rFonts w:cs="Times New Roman" w:asciiTheme="minorEastAsia" w:hAnsiTheme="minorEastAsia" w:eastAsiaTheme="minorEastAsia"/>
        </w:rPr>
        <w:t>（2</w:t>
      </w:r>
      <w:r>
        <w:rPr>
          <w:rFonts w:cs="Times New Roman" w:asciiTheme="minorEastAsia" w:hAnsiTheme="minorEastAsia" w:eastAsiaTheme="minorEastAsia"/>
          <w:spacing w:val="11"/>
        </w:rPr>
        <w:t>）</w:t>
      </w:r>
      <w:r>
        <w:rPr>
          <w:rFonts w:cs="Times New Roman" w:asciiTheme="minorEastAsia" w:hAnsiTheme="minorEastAsia" w:eastAsiaTheme="minorEastAsia"/>
          <w:kern w:val="32"/>
        </w:rPr>
        <w:t>乙方必须用符合合同规定的规格、质量和性能要求的全新的原装合格品免费予以更换。同时，乙方应按合同规定，对修补或更换件相应延长质量保证期。</w:t>
      </w:r>
      <w:r>
        <w:rPr>
          <w:rFonts w:cs="Times New Roman" w:asciiTheme="minorEastAsia" w:hAnsiTheme="minorEastAsia" w:eastAsiaTheme="minorEastAsia"/>
        </w:rPr>
        <w:t> </w:t>
      </w:r>
    </w:p>
    <w:p>
      <w:pPr>
        <w:pStyle w:val="30"/>
        <w:widowControl w:val="0"/>
        <w:shd w:val="clear" w:color="auto" w:fill="FFFFFF"/>
        <w:adjustRightInd w:val="0"/>
        <w:snapToGrid w:val="0"/>
        <w:spacing w:before="0" w:beforeAutospacing="0" w:after="50" w:afterAutospacing="0"/>
        <w:ind w:left="600" w:hanging="600" w:hangingChars="250"/>
        <w:rPr>
          <w:rFonts w:cs="Times New Roman" w:asciiTheme="minorEastAsia" w:hAnsiTheme="minorEastAsia" w:eastAsiaTheme="minorEastAsia"/>
        </w:rPr>
      </w:pPr>
      <w:r>
        <w:rPr>
          <w:rFonts w:cs="Times New Roman" w:asciiTheme="minorEastAsia" w:hAnsiTheme="minorEastAsia" w:eastAsiaTheme="minorEastAsia"/>
        </w:rPr>
        <w:t>（</w:t>
      </w:r>
      <w:r>
        <w:rPr>
          <w:rFonts w:cs="Times New Roman" w:asciiTheme="minorEastAsia" w:hAnsiTheme="minorEastAsia" w:eastAsiaTheme="minorEastAsia"/>
          <w:kern w:val="32"/>
        </w:rPr>
        <w:t>3）质量保证期内，车辆如发生故障时，甲方车辆驾驶员应及时进行补救，避免损失扩大，乙方</w:t>
      </w:r>
      <w:r>
        <w:rPr>
          <w:rFonts w:hint="eastAsia" w:cs="Times New Roman" w:asciiTheme="minorEastAsia" w:hAnsiTheme="minorEastAsia" w:eastAsiaTheme="minorEastAsia"/>
          <w:kern w:val="32"/>
        </w:rPr>
        <w:t>应对质量保证范围内的损失</w:t>
      </w:r>
      <w:r>
        <w:rPr>
          <w:rFonts w:cs="Times New Roman" w:asciiTheme="minorEastAsia" w:hAnsiTheme="minorEastAsia" w:eastAsiaTheme="minorEastAsia"/>
          <w:kern w:val="32"/>
        </w:rPr>
        <w:t>进行赔偿。</w:t>
      </w:r>
      <w:r>
        <w:rPr>
          <w:rFonts w:cs="Times New Roman" w:asciiTheme="minorEastAsia" w:hAnsiTheme="minorEastAsia" w:eastAsiaTheme="minorEastAsia"/>
        </w:rPr>
        <w:t> </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如果在甲方发出索赔通知后5天内，乙方未作答复，上述索赔应视为已被乙方接受。如在甲方发出索赔通知后10天内，乙方未能按照合同规定的任何一种方法解决索赔事宜，乙方需向甲方支付索赔金额</w:t>
      </w:r>
      <w:r>
        <w:rPr>
          <w:rFonts w:hint="eastAsia" w:asciiTheme="minorEastAsia" w:hAnsiTheme="minorEastAsia" w:eastAsiaTheme="minorEastAsia"/>
        </w:rPr>
        <w:t>，</w:t>
      </w:r>
      <w:r>
        <w:rPr>
          <w:rFonts w:asciiTheme="minorEastAsia" w:hAnsiTheme="minorEastAsia" w:eastAsiaTheme="minorEastAsia"/>
        </w:rPr>
        <w:t>或</w:t>
      </w:r>
      <w:r>
        <w:rPr>
          <w:rFonts w:hint="eastAsia" w:asciiTheme="minorEastAsia" w:hAnsiTheme="minorEastAsia" w:eastAsiaTheme="minorEastAsia"/>
        </w:rPr>
        <w:t>双方以诉讼方式</w:t>
      </w:r>
      <w:r>
        <w:rPr>
          <w:rFonts w:asciiTheme="minorEastAsia" w:hAnsiTheme="minorEastAsia" w:eastAsiaTheme="minorEastAsia"/>
        </w:rPr>
        <w:t>解决索赔事宜。</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争议解决</w:t>
      </w:r>
    </w:p>
    <w:p>
      <w:pPr>
        <w:pStyle w:val="30"/>
        <w:widowControl w:val="0"/>
        <w:shd w:val="clear" w:color="auto" w:fill="FFFFFF"/>
        <w:adjustRightInd w:val="0"/>
        <w:snapToGrid w:val="0"/>
        <w:spacing w:beforeLines="50" w:beforeAutospacing="0" w:after="50" w:afterAutospacing="0"/>
        <w:rPr>
          <w:rFonts w:cs="Times New Roman" w:asciiTheme="minorEastAsia" w:hAnsiTheme="minorEastAsia" w:eastAsiaTheme="minorEastAsia"/>
          <w:spacing w:val="6"/>
        </w:rPr>
      </w:pPr>
      <w:r>
        <w:rPr>
          <w:rFonts w:cs="Times New Roman" w:asciiTheme="minorEastAsia" w:hAnsiTheme="minorEastAsia" w:eastAsiaTheme="minorEastAsia"/>
          <w:spacing w:val="6"/>
        </w:rPr>
        <w:t>在执行本合同中所发生的、与本合同有关的一切争议，甲乙双方应通过友好协商的办法进行解决，如解决不了，</w:t>
      </w:r>
      <w:r>
        <w:rPr>
          <w:rFonts w:hint="eastAsia" w:cs="Times New Roman" w:asciiTheme="minorEastAsia" w:hAnsiTheme="minorEastAsia" w:eastAsiaTheme="minorEastAsia"/>
          <w:spacing w:val="6"/>
        </w:rPr>
        <w:t>双方可向甲方所在地</w:t>
      </w:r>
      <w:r>
        <w:rPr>
          <w:rFonts w:cs="Times New Roman" w:asciiTheme="minorEastAsia" w:hAnsiTheme="minorEastAsia" w:eastAsiaTheme="minorEastAsia"/>
          <w:spacing w:val="6"/>
        </w:rPr>
        <w:t>人民法院提起诉讼解决。</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违约终止合同</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在本合同执行过程中，甲方将定期或不定期的对乙方执行合同的情况进行检查，如有下列情况发生，甲方有权单方面向乙方发出终止合同的书面通知书，甲方不承担任何违约、赔偿等责任</w:t>
      </w:r>
      <w:r>
        <w:rPr>
          <w:rFonts w:hint="eastAsia" w:asciiTheme="minorEastAsia" w:hAnsiTheme="minorEastAsia" w:eastAsiaTheme="minorEastAsia"/>
          <w:lang w:val="en-US" w:eastAsia="zh-CN"/>
        </w:rPr>
        <w:t>.</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rPr>
      </w:pPr>
      <w:r>
        <w:rPr>
          <w:rFonts w:cs="Times New Roman" w:asciiTheme="minorEastAsia" w:hAnsiTheme="minorEastAsia" w:eastAsiaTheme="minorEastAsia"/>
        </w:rPr>
        <w:t>（1</w:t>
      </w:r>
      <w:r>
        <w:rPr>
          <w:rFonts w:cs="Times New Roman" w:asciiTheme="minorEastAsia" w:hAnsiTheme="minorEastAsia" w:eastAsiaTheme="minorEastAsia"/>
          <w:spacing w:val="6"/>
        </w:rPr>
        <w:t>）经乙方维修出厂的车辆存在质量问题达</w:t>
      </w:r>
      <w:r>
        <w:rPr>
          <w:rFonts w:cs="Times New Roman" w:asciiTheme="minorEastAsia" w:hAnsiTheme="minorEastAsia" w:eastAsiaTheme="minorEastAsia"/>
        </w:rPr>
        <w:t>5</w:t>
      </w:r>
      <w:r>
        <w:rPr>
          <w:rFonts w:cs="Times New Roman" w:asciiTheme="minorEastAsia" w:hAnsiTheme="minorEastAsia" w:eastAsiaTheme="minorEastAsia"/>
          <w:spacing w:val="6"/>
        </w:rPr>
        <w:t>次的</w:t>
      </w:r>
      <w:r>
        <w:rPr>
          <w:rFonts w:hint="eastAsia" w:cs="Times New Roman" w:asciiTheme="minorEastAsia" w:hAnsiTheme="minorEastAsia" w:eastAsiaTheme="minorEastAsia"/>
          <w:spacing w:val="6"/>
        </w:rPr>
        <w:t>。</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rPr>
      </w:pPr>
      <w:r>
        <w:rPr>
          <w:rFonts w:cs="Times New Roman" w:asciiTheme="minorEastAsia" w:hAnsiTheme="minorEastAsia" w:eastAsiaTheme="minorEastAsia"/>
        </w:rPr>
        <w:t>（2</w:t>
      </w:r>
      <w:r>
        <w:rPr>
          <w:rFonts w:cs="Times New Roman" w:asciiTheme="minorEastAsia" w:hAnsiTheme="minorEastAsia" w:eastAsiaTheme="minorEastAsia"/>
          <w:spacing w:val="6"/>
        </w:rPr>
        <w:t>）未经甲方同意，乙方将送修车辆交由其他维修厂家修理的</w:t>
      </w:r>
      <w:r>
        <w:rPr>
          <w:rFonts w:hint="eastAsia" w:cs="Times New Roman" w:asciiTheme="minorEastAsia" w:hAnsiTheme="minorEastAsia" w:eastAsiaTheme="minorEastAsia"/>
          <w:spacing w:val="6"/>
        </w:rPr>
        <w:t>。</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rPr>
      </w:pPr>
      <w:r>
        <w:rPr>
          <w:rFonts w:cs="Times New Roman" w:asciiTheme="minorEastAsia" w:hAnsiTheme="minorEastAsia" w:eastAsiaTheme="minorEastAsia"/>
        </w:rPr>
        <w:t>（3</w:t>
      </w:r>
      <w:r>
        <w:rPr>
          <w:rFonts w:cs="Times New Roman" w:asciiTheme="minorEastAsia" w:hAnsiTheme="minorEastAsia" w:eastAsiaTheme="minorEastAsia"/>
          <w:spacing w:val="6"/>
        </w:rPr>
        <w:t>）未经甲方同意，乙方擅自使用非原厂生产的零部件用于送修车辆的</w:t>
      </w:r>
      <w:r>
        <w:rPr>
          <w:rFonts w:hint="eastAsia" w:cs="Times New Roman" w:asciiTheme="minorEastAsia" w:hAnsiTheme="minorEastAsia" w:eastAsiaTheme="minorEastAsia"/>
          <w:spacing w:val="6"/>
        </w:rPr>
        <w:t>。</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rPr>
      </w:pPr>
      <w:r>
        <w:rPr>
          <w:rFonts w:cs="Times New Roman" w:asciiTheme="minorEastAsia" w:hAnsiTheme="minorEastAsia" w:eastAsiaTheme="minorEastAsia"/>
        </w:rPr>
        <w:t>（4</w:t>
      </w:r>
      <w:r>
        <w:rPr>
          <w:rFonts w:cs="Times New Roman" w:asciiTheme="minorEastAsia" w:hAnsiTheme="minorEastAsia" w:eastAsiaTheme="minorEastAsia"/>
          <w:spacing w:val="6"/>
        </w:rPr>
        <w:t>）无论在任何情况下，乙方以旧件换取送修车辆零部件的</w:t>
      </w:r>
      <w:r>
        <w:rPr>
          <w:rFonts w:hint="eastAsia" w:cs="Times New Roman" w:asciiTheme="minorEastAsia" w:hAnsiTheme="minorEastAsia" w:eastAsiaTheme="minorEastAsia"/>
          <w:spacing w:val="6"/>
        </w:rPr>
        <w:t>。</w:t>
      </w:r>
    </w:p>
    <w:p>
      <w:pPr>
        <w:pStyle w:val="30"/>
        <w:widowControl w:val="0"/>
        <w:shd w:val="clear" w:color="auto" w:fill="FFFFFF"/>
        <w:adjustRightInd w:val="0"/>
        <w:snapToGrid w:val="0"/>
        <w:spacing w:before="0" w:beforeAutospacing="0" w:after="50" w:afterAutospacing="0"/>
        <w:rPr>
          <w:rFonts w:cs="Times New Roman" w:asciiTheme="minorEastAsia" w:hAnsiTheme="minorEastAsia" w:eastAsiaTheme="minorEastAsia"/>
        </w:rPr>
      </w:pPr>
      <w:r>
        <w:rPr>
          <w:rFonts w:cs="Times New Roman" w:asciiTheme="minorEastAsia" w:hAnsiTheme="minorEastAsia" w:eastAsiaTheme="minorEastAsia"/>
        </w:rPr>
        <w:t>（5</w:t>
      </w:r>
      <w:r>
        <w:rPr>
          <w:rFonts w:cs="Times New Roman" w:asciiTheme="minorEastAsia" w:hAnsiTheme="minorEastAsia" w:eastAsiaTheme="minorEastAsia"/>
          <w:spacing w:val="6"/>
        </w:rPr>
        <w:t>）因乙方维修质量问题，导致送修车辆出现事故造成重大损失的</w:t>
      </w:r>
      <w:r>
        <w:rPr>
          <w:rFonts w:hint="eastAsia" w:cs="Times New Roman" w:asciiTheme="minorEastAsia" w:hAnsiTheme="minorEastAsia" w:eastAsiaTheme="minorEastAsia"/>
          <w:spacing w:val="6"/>
        </w:rPr>
        <w:t>。</w:t>
      </w:r>
      <w:r>
        <w:rPr>
          <w:rFonts w:cs="Times New Roman" w:asciiTheme="minorEastAsia" w:hAnsiTheme="minorEastAsia" w:eastAsiaTheme="minorEastAsia"/>
        </w:rPr>
        <w:t> </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乙方在任何情况下都不得向甲方经办人提供任何形式的回扣，一经发现，甲方可立即全面终止合同，同时提请有关部门追究有关</w:t>
      </w:r>
      <w:r>
        <w:rPr>
          <w:rFonts w:hint="eastAsia" w:asciiTheme="minorEastAsia" w:hAnsiTheme="minorEastAsia" w:eastAsiaTheme="minorEastAsia"/>
        </w:rPr>
        <w:t>人员</w:t>
      </w:r>
      <w:r>
        <w:rPr>
          <w:rFonts w:asciiTheme="minorEastAsia" w:hAnsiTheme="minorEastAsia" w:eastAsiaTheme="minorEastAsia"/>
        </w:rPr>
        <w:t>的责任。</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甲方未按规定与乙方结算的，但由于维修质量、产品等有争议情况除外，并向甲方追究经济赔偿</w:t>
      </w:r>
      <w:r>
        <w:rPr>
          <w:rFonts w:hint="eastAsia" w:asciiTheme="minorEastAsia" w:hAnsiTheme="minorEastAsia" w:eastAsiaTheme="minorEastAsia"/>
          <w:lang w:val="en-US" w:eastAsia="zh-CN"/>
        </w:rPr>
        <w:t>。</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合同的有效期</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本合同须由双方代表签署并加盖公章，自</w:t>
      </w:r>
      <w:r>
        <w:rPr>
          <w:rFonts w:hint="eastAsia" w:asciiTheme="minorEastAsia" w:hAnsiTheme="minorEastAsia" w:eastAsiaTheme="minorEastAsia"/>
        </w:rPr>
        <w:t>2020</w:t>
      </w:r>
      <w:r>
        <w:rPr>
          <w:rFonts w:asciiTheme="minorEastAsia" w:hAnsiTheme="minorEastAsia" w:eastAsiaTheme="minorEastAsia"/>
        </w:rPr>
        <w:t>年</w:t>
      </w:r>
      <w:r>
        <w:rPr>
          <w:rFonts w:hint="eastAsia" w:asciiTheme="minorEastAsia" w:hAnsiTheme="minorEastAsia" w:eastAsiaTheme="minorEastAsia"/>
        </w:rPr>
        <w:t>#</w:t>
      </w:r>
      <w:r>
        <w:rPr>
          <w:rFonts w:asciiTheme="minorEastAsia" w:hAnsiTheme="minorEastAsia" w:eastAsiaTheme="minorEastAsia"/>
        </w:rPr>
        <w:t>月</w:t>
      </w:r>
      <w:r>
        <w:rPr>
          <w:rFonts w:hint="eastAsia" w:asciiTheme="minorEastAsia" w:hAnsiTheme="minorEastAsia" w:eastAsiaTheme="minorEastAsia"/>
        </w:rPr>
        <w:t>##</w:t>
      </w:r>
      <w:r>
        <w:rPr>
          <w:rFonts w:asciiTheme="minorEastAsia" w:hAnsiTheme="minorEastAsia" w:eastAsiaTheme="minorEastAsia"/>
        </w:rPr>
        <w:t>日零时起生效，至20</w:t>
      </w:r>
      <w:r>
        <w:rPr>
          <w:rFonts w:hint="eastAsia" w:asciiTheme="minorEastAsia" w:hAnsiTheme="minorEastAsia" w:eastAsiaTheme="minorEastAsia"/>
        </w:rPr>
        <w:t>##</w:t>
      </w:r>
      <w:r>
        <w:rPr>
          <w:rFonts w:asciiTheme="minorEastAsia" w:hAnsiTheme="minorEastAsia" w:eastAsiaTheme="minorEastAsia"/>
        </w:rPr>
        <w:t>年</w:t>
      </w:r>
      <w:r>
        <w:rPr>
          <w:rFonts w:hint="eastAsia" w:asciiTheme="minorEastAsia" w:hAnsiTheme="minorEastAsia" w:eastAsiaTheme="minorEastAsia"/>
        </w:rPr>
        <w:t>##</w:t>
      </w:r>
      <w:r>
        <w:rPr>
          <w:rFonts w:asciiTheme="minorEastAsia" w:hAnsiTheme="minorEastAsia" w:eastAsiaTheme="minorEastAsia"/>
        </w:rPr>
        <w:t>月</w:t>
      </w:r>
      <w:r>
        <w:rPr>
          <w:rFonts w:hint="eastAsia" w:asciiTheme="minorEastAsia" w:hAnsiTheme="minorEastAsia" w:eastAsiaTheme="minorEastAsia"/>
        </w:rPr>
        <w:t>##</w:t>
      </w:r>
      <w:r>
        <w:rPr>
          <w:rFonts w:asciiTheme="minorEastAsia" w:hAnsiTheme="minorEastAsia" w:eastAsiaTheme="minorEastAsia"/>
        </w:rPr>
        <w:t>日24时期满。服务期满、质量责任期满、维修价款结算完毕后本合同终止。</w:t>
      </w:r>
    </w:p>
    <w:p>
      <w:pPr>
        <w:pStyle w:val="2"/>
        <w:keepNext w:val="0"/>
        <w:keepLines w:val="0"/>
        <w:spacing w:beforeLines="100" w:after="50" w:line="24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其他</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合同应在甲乙双方</w:t>
      </w:r>
      <w:r>
        <w:rPr>
          <w:rFonts w:hint="eastAsia" w:asciiTheme="minorEastAsia" w:hAnsiTheme="minorEastAsia" w:eastAsiaTheme="minorEastAsia"/>
        </w:rPr>
        <w:t>法定代表人或授权</w:t>
      </w:r>
      <w:r>
        <w:rPr>
          <w:rFonts w:asciiTheme="minorEastAsia" w:hAnsiTheme="minorEastAsia" w:eastAsiaTheme="minorEastAsia"/>
        </w:rPr>
        <w:t>代表签字并加盖公章后生效。</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本合同一式四份，甲乙双方各执</w:t>
      </w:r>
      <w:r>
        <w:rPr>
          <w:rFonts w:hint="eastAsia" w:asciiTheme="minorEastAsia" w:hAnsiTheme="minorEastAsia" w:eastAsiaTheme="minorEastAsia"/>
        </w:rPr>
        <w:t>两</w:t>
      </w:r>
      <w:r>
        <w:rPr>
          <w:rFonts w:asciiTheme="minorEastAsia" w:hAnsiTheme="minorEastAsia" w:eastAsiaTheme="minorEastAsia"/>
        </w:rPr>
        <w:t>份。</w:t>
      </w:r>
    </w:p>
    <w:p>
      <w:pPr>
        <w:pStyle w:val="3"/>
        <w:keepNext w:val="0"/>
        <w:keepLines w:val="0"/>
        <w:spacing w:before="156" w:after="50" w:afterAutospacing="0"/>
        <w:rPr>
          <w:rFonts w:asciiTheme="minorEastAsia" w:hAnsiTheme="minorEastAsia" w:eastAsiaTheme="minorEastAsia"/>
        </w:rPr>
      </w:pPr>
      <w:r>
        <w:rPr>
          <w:rFonts w:asciiTheme="minorEastAsia" w:hAnsiTheme="minorEastAsia" w:eastAsiaTheme="minorEastAsia"/>
        </w:rPr>
        <w:t> 除甲方事先书面同意外，乙方不得部分或全部转让其应履行的合同义务。</w:t>
      </w:r>
      <w:bookmarkEnd w:id="13"/>
    </w:p>
    <w:p>
      <w:pPr>
        <w:pStyle w:val="3"/>
        <w:keepNext w:val="0"/>
        <w:keepLines w:val="0"/>
        <w:spacing w:before="156" w:after="50" w:afterAutospacing="0"/>
        <w:rPr>
          <w:rFonts w:asciiTheme="minorEastAsia" w:hAnsiTheme="minorEastAsia" w:eastAsiaTheme="minorEastAsia"/>
        </w:rPr>
      </w:pPr>
      <w:bookmarkStart w:id="16" w:name="_Toc91868840"/>
      <w:r>
        <w:rPr>
          <w:rFonts w:asciiTheme="minorEastAsia" w:hAnsiTheme="minorEastAsia" w:eastAsiaTheme="minorEastAsia"/>
        </w:rPr>
        <w:t>未尽事宜双方另行订立补充协议，与本合同具有同等效力。</w:t>
      </w:r>
      <w:bookmarkEnd w:id="16"/>
    </w:p>
    <w:tbl>
      <w:tblPr>
        <w:tblStyle w:val="16"/>
        <w:tblW w:w="10341" w:type="dxa"/>
        <w:jc w:val="center"/>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8"/>
        <w:gridCol w:w="3288"/>
        <w:gridCol w:w="1487"/>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6"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甲    方</w:t>
            </w:r>
          </w:p>
          <w:p>
            <w:pPr>
              <w:spacing w:after="50"/>
              <w:jc w:val="center"/>
              <w:rPr>
                <w:rFonts w:asciiTheme="minorEastAsia" w:hAnsiTheme="minorEastAsia" w:eastAsiaTheme="minorEastAsia"/>
                <w:szCs w:val="24"/>
              </w:rPr>
            </w:pPr>
            <w:r>
              <w:rPr>
                <w:rFonts w:asciiTheme="minorEastAsia" w:hAnsiTheme="minorEastAsia" w:eastAsiaTheme="minorEastAsia"/>
                <w:szCs w:val="24"/>
              </w:rPr>
              <w:t>( 盖 章 )</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广州鼎胜物流有限公司</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乙    方</w:t>
            </w:r>
          </w:p>
          <w:p>
            <w:pPr>
              <w:spacing w:after="50"/>
              <w:jc w:val="center"/>
              <w:rPr>
                <w:rFonts w:asciiTheme="minorEastAsia" w:hAnsiTheme="minorEastAsia" w:eastAsiaTheme="minorEastAsia"/>
                <w:szCs w:val="24"/>
              </w:rPr>
            </w:pPr>
            <w:r>
              <w:rPr>
                <w:rFonts w:asciiTheme="minorEastAsia" w:hAnsiTheme="minorEastAsia" w:eastAsiaTheme="minorEastAsia"/>
                <w:szCs w:val="24"/>
              </w:rPr>
              <w:t>( 盖 章 )</w:t>
            </w:r>
          </w:p>
        </w:tc>
        <w:tc>
          <w:tcPr>
            <w:tcW w:w="4018" w:type="dxa"/>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 w:hRule="atLeast"/>
          <w:jc w:val="center"/>
        </w:trPr>
        <w:tc>
          <w:tcPr>
            <w:tcW w:w="1548" w:type="dxa"/>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法定代表人或授权代表</w:t>
            </w:r>
          </w:p>
          <w:p>
            <w:pPr>
              <w:spacing w:after="50"/>
              <w:jc w:val="center"/>
              <w:rPr>
                <w:rFonts w:asciiTheme="minorEastAsia" w:hAnsiTheme="minorEastAsia" w:eastAsiaTheme="minorEastAsia"/>
                <w:szCs w:val="24"/>
              </w:rPr>
            </w:pPr>
            <w:r>
              <w:rPr>
                <w:rFonts w:asciiTheme="minorEastAsia" w:hAnsiTheme="minorEastAsia" w:eastAsiaTheme="minorEastAsia"/>
                <w:szCs w:val="24"/>
              </w:rPr>
              <w:t>（签 署）</w:t>
            </w:r>
          </w:p>
        </w:tc>
        <w:tc>
          <w:tcPr>
            <w:tcW w:w="3288" w:type="dxa"/>
            <w:vAlign w:val="center"/>
          </w:tcPr>
          <w:p>
            <w:pPr>
              <w:spacing w:after="50"/>
              <w:jc w:val="center"/>
              <w:rPr>
                <w:rFonts w:asciiTheme="minorEastAsia" w:hAnsiTheme="minorEastAsia" w:eastAsiaTheme="minorEastAsia"/>
                <w:szCs w:val="24"/>
              </w:rPr>
            </w:pPr>
          </w:p>
        </w:tc>
        <w:tc>
          <w:tcPr>
            <w:tcW w:w="1487" w:type="dxa"/>
            <w:vAlign w:val="center"/>
          </w:tcPr>
          <w:p>
            <w:pPr>
              <w:spacing w:after="50"/>
              <w:jc w:val="center"/>
              <w:rPr>
                <w:rFonts w:asciiTheme="minorEastAsia" w:hAnsiTheme="minorEastAsia" w:eastAsiaTheme="minorEastAsia"/>
                <w:szCs w:val="24"/>
              </w:rPr>
            </w:pPr>
            <w:r>
              <w:rPr>
                <w:rFonts w:hint="eastAsia" w:asciiTheme="minorEastAsia" w:hAnsiTheme="minorEastAsia" w:eastAsiaTheme="minorEastAsia"/>
                <w:szCs w:val="24"/>
              </w:rPr>
              <w:t>法定代表人或授权代表</w:t>
            </w:r>
          </w:p>
          <w:p>
            <w:pPr>
              <w:spacing w:after="50"/>
              <w:jc w:val="center"/>
              <w:rPr>
                <w:rFonts w:asciiTheme="minorEastAsia" w:hAnsiTheme="minorEastAsia" w:eastAsiaTheme="minorEastAsia"/>
                <w:szCs w:val="24"/>
              </w:rPr>
            </w:pPr>
            <w:r>
              <w:rPr>
                <w:rFonts w:asciiTheme="minorEastAsia" w:hAnsiTheme="minorEastAsia" w:eastAsiaTheme="minorEastAsia"/>
                <w:szCs w:val="24"/>
              </w:rPr>
              <w:t>（签 署）</w:t>
            </w:r>
          </w:p>
        </w:tc>
        <w:tc>
          <w:tcPr>
            <w:tcW w:w="4018" w:type="dxa"/>
            <w:vAlign w:val="center"/>
          </w:tcPr>
          <w:p>
            <w:pPr>
              <w:spacing w:after="5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4"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联系电话</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020－82229520</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联系电话</w:t>
            </w:r>
          </w:p>
        </w:tc>
        <w:tc>
          <w:tcPr>
            <w:tcW w:w="4018" w:type="dxa"/>
            <w:vAlign w:val="center"/>
          </w:tcPr>
          <w:p>
            <w:pPr>
              <w:spacing w:after="5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传    真</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020－82229520</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传    真</w:t>
            </w:r>
          </w:p>
        </w:tc>
        <w:tc>
          <w:tcPr>
            <w:tcW w:w="4018" w:type="dxa"/>
            <w:vAlign w:val="center"/>
          </w:tcPr>
          <w:p>
            <w:pPr>
              <w:spacing w:after="5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邮政编码</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510730</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邮政编码</w:t>
            </w:r>
          </w:p>
        </w:tc>
        <w:tc>
          <w:tcPr>
            <w:tcW w:w="4018" w:type="dxa"/>
            <w:vAlign w:val="center"/>
          </w:tcPr>
          <w:p>
            <w:pPr>
              <w:spacing w:after="5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6"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开户银行</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招商银行股份有限公司</w:t>
            </w:r>
          </w:p>
          <w:p>
            <w:pPr>
              <w:spacing w:after="50"/>
              <w:jc w:val="center"/>
              <w:rPr>
                <w:rFonts w:asciiTheme="minorEastAsia" w:hAnsiTheme="minorEastAsia" w:eastAsiaTheme="minorEastAsia"/>
                <w:szCs w:val="24"/>
              </w:rPr>
            </w:pPr>
            <w:r>
              <w:rPr>
                <w:rFonts w:asciiTheme="minorEastAsia" w:hAnsiTheme="minorEastAsia" w:eastAsiaTheme="minorEastAsia"/>
                <w:szCs w:val="24"/>
              </w:rPr>
              <w:t>广州高新支行</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开户银行</w:t>
            </w:r>
          </w:p>
        </w:tc>
        <w:tc>
          <w:tcPr>
            <w:tcW w:w="4018" w:type="dxa"/>
            <w:vAlign w:val="center"/>
          </w:tcPr>
          <w:p>
            <w:pPr>
              <w:spacing w:after="5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jc w:val="center"/>
        </w:trPr>
        <w:tc>
          <w:tcPr>
            <w:tcW w:w="154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帐    号</w:t>
            </w:r>
          </w:p>
        </w:tc>
        <w:tc>
          <w:tcPr>
            <w:tcW w:w="3288"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201980444410001</w:t>
            </w:r>
          </w:p>
        </w:tc>
        <w:tc>
          <w:tcPr>
            <w:tcW w:w="1487" w:type="dxa"/>
            <w:vAlign w:val="center"/>
          </w:tcPr>
          <w:p>
            <w:pPr>
              <w:spacing w:after="50"/>
              <w:jc w:val="center"/>
              <w:rPr>
                <w:rFonts w:asciiTheme="minorEastAsia" w:hAnsiTheme="minorEastAsia" w:eastAsiaTheme="minorEastAsia"/>
                <w:szCs w:val="24"/>
              </w:rPr>
            </w:pPr>
            <w:r>
              <w:rPr>
                <w:rFonts w:asciiTheme="minorEastAsia" w:hAnsiTheme="minorEastAsia" w:eastAsiaTheme="minorEastAsia"/>
                <w:szCs w:val="24"/>
              </w:rPr>
              <w:t>帐    号</w:t>
            </w:r>
          </w:p>
        </w:tc>
        <w:tc>
          <w:tcPr>
            <w:tcW w:w="4018" w:type="dxa"/>
            <w:vAlign w:val="center"/>
          </w:tcPr>
          <w:p>
            <w:pPr>
              <w:spacing w:after="50"/>
              <w:jc w:val="center"/>
              <w:rPr>
                <w:rFonts w:asciiTheme="minorEastAsia" w:hAnsiTheme="minorEastAsia" w:eastAsiaTheme="minorEastAsia"/>
                <w:szCs w:val="24"/>
              </w:rPr>
            </w:pPr>
          </w:p>
        </w:tc>
      </w:tr>
    </w:tbl>
    <w:p>
      <w:pPr>
        <w:spacing w:after="50"/>
        <w:jc w:val="center"/>
        <w:rPr>
          <w:rFonts w:ascii="宋体" w:hAnsi="宋体" w:eastAsia="宋体"/>
          <w:b/>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eastAsiaTheme="minorEastAsia"/>
      </w:rPr>
    </w:pPr>
    <w:r>
      <w:rPr>
        <w:rFonts w:hint="eastAsia" w:asciiTheme="minorEastAsia" w:hAnsiTheme="minorEastAsia" w:eastAsiaTheme="minorEastAsia"/>
      </w:rPr>
      <w:t>第</w:t>
    </w:r>
    <w:sdt>
      <w:sdtPr>
        <w:rPr>
          <w:rFonts w:asciiTheme="minorEastAsia" w:hAnsiTheme="minorEastAsia" w:eastAsiaTheme="minorEastAsia"/>
        </w:rPr>
        <w:id w:val="7874954"/>
      </w:sdtPr>
      <w:sdtEndPr>
        <w:rPr>
          <w:rFonts w:asciiTheme="minorEastAsia" w:hAnsiTheme="minorEastAsia" w:eastAsiaTheme="minorEastAsia"/>
        </w:rPr>
      </w:sdtEndPr>
      <w:sdtContent>
        <w:sdt>
          <w:sdtPr>
            <w:rPr>
              <w:rFonts w:asciiTheme="minorEastAsia" w:hAnsiTheme="minorEastAsia" w:eastAsiaTheme="minorEastAsia"/>
            </w:rPr>
            <w:id w:val="98381352"/>
          </w:sdtPr>
          <w:sdtEndPr>
            <w:rPr>
              <w:rFonts w:asciiTheme="minorEastAsia" w:hAnsiTheme="minorEastAsia" w:eastAsiaTheme="minorEastAsia"/>
            </w:rPr>
          </w:sdtEndPr>
          <w:sdtContent>
            <w:r>
              <w:rPr>
                <w:rFonts w:asciiTheme="minorEastAsia" w:hAnsiTheme="minorEastAsia" w:eastAsiaTheme="minorEastAsia"/>
              </w:rPr>
              <w:fldChar w:fldCharType="begin"/>
            </w:r>
            <w:r>
              <w:rPr>
                <w:rFonts w:asciiTheme="minorEastAsia" w:hAnsiTheme="minorEastAsia" w:eastAsiaTheme="minorEastAsia"/>
              </w:rPr>
              <w:instrText xml:space="preserve">PAGE</w:instrText>
            </w:r>
            <w:r>
              <w:rPr>
                <w:rFonts w:asciiTheme="minorEastAsia" w:hAnsiTheme="minorEastAsia" w:eastAsiaTheme="minorEastAsia"/>
              </w:rPr>
              <w:fldChar w:fldCharType="separate"/>
            </w:r>
            <w:r>
              <w:rPr>
                <w:rFonts w:asciiTheme="minorEastAsia" w:hAnsiTheme="minorEastAsia" w:eastAsiaTheme="minorEastAsia"/>
              </w:rPr>
              <w:t>11</w:t>
            </w:r>
            <w:r>
              <w:rPr>
                <w:rFonts w:asciiTheme="minorEastAsia" w:hAnsiTheme="minorEastAsia" w:eastAsiaTheme="minorEastAsia"/>
              </w:rPr>
              <w:fldChar w:fldCharType="end"/>
            </w:r>
            <w:r>
              <w:rPr>
                <w:rFonts w:hint="eastAsia" w:asciiTheme="minorEastAsia" w:hAnsiTheme="minorEastAsia" w:eastAsiaTheme="minorEastAsia"/>
              </w:rPr>
              <w:t>页，</w:t>
            </w:r>
            <w:r>
              <w:rPr>
                <w:rFonts w:hint="eastAsia" w:asciiTheme="minorEastAsia" w:hAnsiTheme="minorEastAsia" w:eastAsiaTheme="minorEastAsia"/>
                <w:lang w:val="zh-CN"/>
              </w:rPr>
              <w:t>共</w:t>
            </w:r>
            <w:r>
              <w:rPr>
                <w:rFonts w:asciiTheme="minorEastAsia" w:hAnsiTheme="minorEastAsia" w:eastAsiaTheme="minorEastAsia"/>
              </w:rPr>
              <w:fldChar w:fldCharType="begin"/>
            </w:r>
            <w:r>
              <w:rPr>
                <w:rFonts w:asciiTheme="minorEastAsia" w:hAnsiTheme="minorEastAsia" w:eastAsiaTheme="minorEastAsia"/>
              </w:rPr>
              <w:instrText xml:space="preserve">NUMPAGES</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hint="eastAsia" w:asciiTheme="minorEastAsia" w:hAnsiTheme="minorEastAsia" w:eastAsiaTheme="minorEastAsia"/>
              </w:rPr>
              <w:t>页</w:t>
            </w:r>
          </w:sdtContent>
        </w:sdt>
      </w:sdtContent>
    </w:sdt>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GPL牵引车及半挂车等设备定点维修维护项目比质比价文件</w:t>
    </w:r>
    <w:r>
      <w:rPr>
        <w:rFonts w:hint="eastAsia"/>
        <w:lang w:val="en-US" w:eastAsia="zh-CN"/>
      </w:rPr>
      <w:t xml:space="preserve">             </w:t>
    </w:r>
    <w:r>
      <w:rPr>
        <w:rFonts w:hint="eastAsia"/>
      </w:rPr>
      <w:t>文件编号：</w:t>
    </w:r>
    <w:r>
      <w:rPr>
        <w:rFonts w:hint="eastAsia" w:ascii="宋体" w:hAnsi="宋体" w:eastAsia="宋体" w:cs="宋体"/>
        <w:b w:val="0"/>
        <w:i w:val="0"/>
        <w:caps w:val="0"/>
        <w:color w:val="000000"/>
        <w:spacing w:val="0"/>
        <w:sz w:val="19"/>
        <w:szCs w:val="19"/>
        <w:shd w:val="clear" w:fill="FFFFFF"/>
      </w:rPr>
      <w:t>GPL-ENG-2020-Q-92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19984"/>
    <w:multiLevelType w:val="singleLevel"/>
    <w:tmpl w:val="F5019984"/>
    <w:lvl w:ilvl="0" w:tentative="0">
      <w:start w:val="2"/>
      <w:numFmt w:val="chineseCounting"/>
      <w:suff w:val="space"/>
      <w:lvlText w:val="第%1部分"/>
      <w:lvlJc w:val="left"/>
      <w:rPr>
        <w:rFonts w:hint="eastAsia"/>
      </w:rPr>
    </w:lvl>
  </w:abstractNum>
  <w:abstractNum w:abstractNumId="1">
    <w:nsid w:val="00000037"/>
    <w:multiLevelType w:val="multilevel"/>
    <w:tmpl w:val="000000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3B"/>
    <w:multiLevelType w:val="multilevel"/>
    <w:tmpl w:val="0000003B"/>
    <w:lvl w:ilvl="0" w:tentative="0">
      <w:start w:val="1"/>
      <w:numFmt w:val="decimal"/>
      <w:lvlText w:val="%1"/>
      <w:lvlJc w:val="left"/>
      <w:pPr>
        <w:ind w:left="425" w:hanging="425"/>
      </w:pPr>
    </w:lvl>
    <w:lvl w:ilvl="1" w:tentative="0">
      <w:start w:val="1"/>
      <w:numFmt w:val="bullet"/>
      <w:lvlText w:val=""/>
      <w:lvlJc w:val="left"/>
      <w:pPr>
        <w:ind w:left="992" w:hanging="567"/>
      </w:pPr>
      <w:rPr>
        <w:rFonts w:hint="default" w:ascii="Wingdings" w:hAnsi="Wingdings"/>
        <w:sz w:val="16"/>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00000050"/>
    <w:multiLevelType w:val="multilevel"/>
    <w:tmpl w:val="00000050"/>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37224875"/>
    <w:multiLevelType w:val="multilevel"/>
    <w:tmpl w:val="37224875"/>
    <w:lvl w:ilvl="0" w:tentative="0">
      <w:start w:val="1"/>
      <w:numFmt w:val="decimal"/>
      <w:lvlText w:val="%1."/>
      <w:lvlJc w:val="left"/>
      <w:pPr>
        <w:ind w:left="340" w:hanging="340"/>
      </w:pPr>
      <w:rPr>
        <w:rFonts w:hint="eastAsia"/>
      </w:rPr>
    </w:lvl>
    <w:lvl w:ilvl="1" w:tentative="0">
      <w:start w:val="1"/>
      <w:numFmt w:val="decimal"/>
      <w:lvlText w:val="%1.%2."/>
      <w:lvlJc w:val="left"/>
      <w:pPr>
        <w:ind w:left="987" w:hanging="341"/>
      </w:pPr>
      <w:rPr>
        <w:rFonts w:hint="eastAsia"/>
      </w:rPr>
    </w:lvl>
    <w:lvl w:ilvl="2" w:tentative="0">
      <w:start w:val="1"/>
      <w:numFmt w:val="decimal"/>
      <w:lvlText w:val="%1.%2.%3."/>
      <w:lvlJc w:val="left"/>
      <w:pPr>
        <w:ind w:left="1100" w:hanging="341"/>
      </w:pPr>
      <w:rPr>
        <w:rFonts w:hint="eastAsia"/>
      </w:rPr>
    </w:lvl>
    <w:lvl w:ilvl="3" w:tentative="0">
      <w:start w:val="1"/>
      <w:numFmt w:val="decimal"/>
      <w:lvlText w:val="%1.%2.%3.%4."/>
      <w:lvlJc w:val="left"/>
      <w:pPr>
        <w:ind w:left="1213" w:hanging="341"/>
      </w:pPr>
      <w:rPr>
        <w:rFonts w:hint="eastAsia"/>
      </w:rPr>
    </w:lvl>
    <w:lvl w:ilvl="4" w:tentative="0">
      <w:start w:val="1"/>
      <w:numFmt w:val="decimal"/>
      <w:lvlText w:val="%1.%2.%3.%4.%5."/>
      <w:lvlJc w:val="left"/>
      <w:pPr>
        <w:ind w:left="1326" w:hanging="341"/>
      </w:pPr>
      <w:rPr>
        <w:rFonts w:hint="eastAsia"/>
      </w:rPr>
    </w:lvl>
    <w:lvl w:ilvl="5" w:tentative="0">
      <w:start w:val="1"/>
      <w:numFmt w:val="decimal"/>
      <w:lvlText w:val="%1.%2.%3.%4.%5.%6."/>
      <w:lvlJc w:val="left"/>
      <w:pPr>
        <w:ind w:left="1439" w:hanging="341"/>
      </w:pPr>
      <w:rPr>
        <w:rFonts w:hint="eastAsia"/>
      </w:rPr>
    </w:lvl>
    <w:lvl w:ilvl="6" w:tentative="0">
      <w:start w:val="1"/>
      <w:numFmt w:val="decimal"/>
      <w:lvlText w:val="%1.%2.%3.%4.%5.%6.%7."/>
      <w:lvlJc w:val="left"/>
      <w:pPr>
        <w:ind w:left="1552" w:hanging="341"/>
      </w:pPr>
      <w:rPr>
        <w:rFonts w:hint="eastAsia"/>
      </w:rPr>
    </w:lvl>
    <w:lvl w:ilvl="7" w:tentative="0">
      <w:start w:val="1"/>
      <w:numFmt w:val="decimal"/>
      <w:lvlText w:val="%1.%2.%3.%4.%5.%6.%7.%8."/>
      <w:lvlJc w:val="left"/>
      <w:pPr>
        <w:ind w:left="1665" w:hanging="341"/>
      </w:pPr>
      <w:rPr>
        <w:rFonts w:hint="eastAsia"/>
      </w:rPr>
    </w:lvl>
    <w:lvl w:ilvl="8" w:tentative="0">
      <w:start w:val="1"/>
      <w:numFmt w:val="decimal"/>
      <w:lvlText w:val="%1.%2.%3.%4.%5.%6.%7.%8.%9."/>
      <w:lvlJc w:val="left"/>
      <w:pPr>
        <w:ind w:left="1778" w:hanging="341"/>
      </w:pPr>
      <w:rPr>
        <w:rFonts w:hint="eastAsia"/>
      </w:rPr>
    </w:lvl>
  </w:abstractNum>
  <w:abstractNum w:abstractNumId="5">
    <w:nsid w:val="40B83D80"/>
    <w:multiLevelType w:val="multilevel"/>
    <w:tmpl w:val="40B83D80"/>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42707DB6"/>
    <w:multiLevelType w:val="multilevel"/>
    <w:tmpl w:val="42707DB6"/>
    <w:lvl w:ilvl="0" w:tentative="0">
      <w:start w:val="1"/>
      <w:numFmt w:val="decimal"/>
      <w:lvlText w:val="3.%1"/>
      <w:lvlJc w:val="left"/>
      <w:pPr>
        <w:tabs>
          <w:tab w:val="left" w:pos="1189"/>
        </w:tabs>
        <w:ind w:left="1075" w:hanging="595"/>
      </w:pPr>
      <w:rPr>
        <w:rFonts w:hint="eastAsia"/>
        <w:b w:val="0"/>
        <w:i w:val="0"/>
      </w:rPr>
    </w:lvl>
    <w:lvl w:ilvl="1" w:tentative="0">
      <w:start w:val="1"/>
      <w:numFmt w:val="none"/>
      <w:lvlText w:val="5.1"/>
      <w:lvlJc w:val="left"/>
      <w:pPr>
        <w:tabs>
          <w:tab w:val="left" w:pos="914"/>
        </w:tabs>
        <w:ind w:left="914" w:hanging="576"/>
      </w:pPr>
      <w:rPr>
        <w:rFonts w:hint="eastAsia"/>
        <w:b w:val="0"/>
        <w:i w:val="0"/>
        <w:caps w:val="0"/>
        <w:strike w:val="0"/>
        <w:dstrike w:val="0"/>
        <w:vanish w:val="0"/>
        <w:color w:val="000000"/>
        <w:sz w:val="24"/>
        <w:szCs w:val="24"/>
        <w:vertAlign w:val="baseline"/>
      </w:rPr>
    </w:lvl>
    <w:lvl w:ilvl="2" w:tentative="0">
      <w:start w:val="1"/>
      <w:numFmt w:val="decimal"/>
      <w:lvlText w:val="%1.%2.%3"/>
      <w:lvlJc w:val="left"/>
      <w:pPr>
        <w:tabs>
          <w:tab w:val="left" w:pos="1058"/>
        </w:tabs>
        <w:ind w:left="1058" w:hanging="720"/>
      </w:pPr>
      <w:rPr>
        <w:rFonts w:hint="default"/>
      </w:rPr>
    </w:lvl>
    <w:lvl w:ilvl="3" w:tentative="0">
      <w:start w:val="1"/>
      <w:numFmt w:val="decimal"/>
      <w:lvlText w:val="%1.%2.%3.%4"/>
      <w:lvlJc w:val="left"/>
      <w:pPr>
        <w:tabs>
          <w:tab w:val="left" w:pos="1202"/>
        </w:tabs>
        <w:ind w:left="1202" w:hanging="864"/>
      </w:pPr>
      <w:rPr>
        <w:rFonts w:hint="default"/>
      </w:rPr>
    </w:lvl>
    <w:lvl w:ilvl="4" w:tentative="0">
      <w:start w:val="1"/>
      <w:numFmt w:val="decimal"/>
      <w:lvlText w:val="%1.%2.%3.%4.%5"/>
      <w:lvlJc w:val="left"/>
      <w:pPr>
        <w:tabs>
          <w:tab w:val="left" w:pos="1346"/>
        </w:tabs>
        <w:ind w:left="1346" w:hanging="1008"/>
      </w:pPr>
      <w:rPr>
        <w:rFonts w:hint="default"/>
      </w:rPr>
    </w:lvl>
    <w:lvl w:ilvl="5" w:tentative="0">
      <w:start w:val="1"/>
      <w:numFmt w:val="decimal"/>
      <w:lvlText w:val="%1.%2.%3.%4.%5.%6"/>
      <w:lvlJc w:val="left"/>
      <w:pPr>
        <w:tabs>
          <w:tab w:val="left" w:pos="1490"/>
        </w:tabs>
        <w:ind w:left="1490" w:hanging="1152"/>
      </w:pPr>
      <w:rPr>
        <w:rFonts w:hint="default"/>
      </w:rPr>
    </w:lvl>
    <w:lvl w:ilvl="6" w:tentative="0">
      <w:start w:val="1"/>
      <w:numFmt w:val="decimal"/>
      <w:lvlText w:val="%1.%2.%3.%4.%5.%6.%7"/>
      <w:lvlJc w:val="left"/>
      <w:pPr>
        <w:tabs>
          <w:tab w:val="left" w:pos="1634"/>
        </w:tabs>
        <w:ind w:left="1634" w:hanging="1296"/>
      </w:pPr>
      <w:rPr>
        <w:rFonts w:hint="default"/>
        <w:b w:val="0"/>
        <w:i w:val="0"/>
        <w:caps w:val="0"/>
        <w:strike w:val="0"/>
        <w:dstrike w:val="0"/>
        <w:vanish w:val="0"/>
        <w:sz w:val="22"/>
        <w:vertAlign w:val="baseline"/>
      </w:rPr>
    </w:lvl>
    <w:lvl w:ilvl="7" w:tentative="0">
      <w:start w:val="1"/>
      <w:numFmt w:val="decimal"/>
      <w:lvlText w:val="%1.%2.%3.%4.%5.%6.%7.%8"/>
      <w:lvlJc w:val="left"/>
      <w:pPr>
        <w:tabs>
          <w:tab w:val="left" w:pos="1778"/>
        </w:tabs>
        <w:ind w:left="1778" w:hanging="1440"/>
      </w:pPr>
      <w:rPr>
        <w:rFonts w:hint="default"/>
      </w:rPr>
    </w:lvl>
    <w:lvl w:ilvl="8" w:tentative="0">
      <w:start w:val="1"/>
      <w:numFmt w:val="decimal"/>
      <w:lvlText w:val="%1.%2.%3.%4.%5.%6.%7.%8.%9"/>
      <w:lvlJc w:val="left"/>
      <w:pPr>
        <w:tabs>
          <w:tab w:val="left" w:pos="1922"/>
        </w:tabs>
        <w:ind w:left="1922" w:hanging="1584"/>
      </w:pPr>
      <w:rPr>
        <w:rFonts w:hint="default"/>
      </w:rPr>
    </w:lvl>
  </w:abstractNum>
  <w:abstractNum w:abstractNumId="7">
    <w:nsid w:val="48B0524B"/>
    <w:multiLevelType w:val="multilevel"/>
    <w:tmpl w:val="48B0524B"/>
    <w:lvl w:ilvl="0" w:tentative="0">
      <w:start w:val="1"/>
      <w:numFmt w:val="decimal"/>
      <w:pStyle w:val="2"/>
      <w:lvlText w:val="%1"/>
      <w:lvlJc w:val="left"/>
      <w:pPr>
        <w:tabs>
          <w:tab w:val="left" w:pos="709"/>
        </w:tabs>
        <w:ind w:left="709" w:hanging="709"/>
      </w:pPr>
      <w:rPr>
        <w:rFonts w:hint="default"/>
        <w:b/>
        <w:i w:val="0"/>
      </w:rPr>
    </w:lvl>
    <w:lvl w:ilvl="1" w:tentative="0">
      <w:start w:val="1"/>
      <w:numFmt w:val="decimal"/>
      <w:pStyle w:val="3"/>
      <w:lvlText w:val="%1.%2"/>
      <w:lvlJc w:val="left"/>
      <w:pPr>
        <w:tabs>
          <w:tab w:val="left" w:pos="576"/>
        </w:tabs>
        <w:ind w:left="576" w:hanging="576"/>
      </w:pPr>
      <w:rPr>
        <w:rFonts w:hint="eastAsia"/>
        <w:b/>
        <w:i w:val="0"/>
        <w:caps w:val="0"/>
        <w:strike w:val="0"/>
        <w:dstrike w:val="0"/>
        <w:vanish w:val="0"/>
        <w:color w:val="000000"/>
        <w:sz w:val="24"/>
        <w:szCs w:val="24"/>
        <w:vertAlign w:val="baseline"/>
      </w:rPr>
    </w:lvl>
    <w:lvl w:ilvl="2" w:tentative="0">
      <w:start w:val="1"/>
      <w:numFmt w:val="decimal"/>
      <w:pStyle w:val="4"/>
      <w:lvlText w:val="%1.%2.%3"/>
      <w:lvlJc w:val="left"/>
      <w:pPr>
        <w:tabs>
          <w:tab w:val="left" w:pos="720"/>
        </w:tabs>
        <w:ind w:left="720" w:hanging="720"/>
      </w:pPr>
      <w:rPr>
        <w:rFonts w:hint="default" w:ascii="Times New Roman" w:hAnsi="Times New Roman" w:eastAsia="宋体"/>
        <w:b w:val="0"/>
        <w:i w:val="0"/>
        <w:caps w:val="0"/>
        <w:strike w:val="0"/>
        <w:dstrike w:val="0"/>
        <w:vanish w:val="0"/>
        <w:color w:val="000000"/>
        <w:sz w:val="24"/>
        <w:szCs w:val="24"/>
        <w:vertAlign w:val="baseline"/>
      </w:rPr>
    </w:lvl>
    <w:lvl w:ilvl="3" w:tentative="0">
      <w:start w:val="1"/>
      <w:numFmt w:val="decimal"/>
      <w:pStyle w:val="5"/>
      <w:lvlText w:val="%1.%2.%3.%4"/>
      <w:lvlJc w:val="left"/>
      <w:pPr>
        <w:tabs>
          <w:tab w:val="left" w:pos="764"/>
        </w:tabs>
        <w:ind w:left="764" w:hanging="864"/>
      </w:pPr>
      <w:rPr>
        <w:rFonts w:hint="default"/>
      </w:rPr>
    </w:lvl>
    <w:lvl w:ilvl="4" w:tentative="0">
      <w:start w:val="1"/>
      <w:numFmt w:val="decimal"/>
      <w:pStyle w:val="6"/>
      <w:lvlText w:val="%1.%2.%3.%4.%5"/>
      <w:lvlJc w:val="left"/>
      <w:pPr>
        <w:tabs>
          <w:tab w:val="left" w:pos="908"/>
        </w:tabs>
        <w:ind w:left="908" w:hanging="1008"/>
      </w:pPr>
      <w:rPr>
        <w:rFonts w:hint="default"/>
      </w:rPr>
    </w:lvl>
    <w:lvl w:ilvl="5" w:tentative="0">
      <w:start w:val="1"/>
      <w:numFmt w:val="decimal"/>
      <w:pStyle w:val="8"/>
      <w:lvlText w:val="%1.%2.%3.%4.%5.%6"/>
      <w:lvlJc w:val="left"/>
      <w:pPr>
        <w:tabs>
          <w:tab w:val="left" w:pos="1052"/>
        </w:tabs>
        <w:ind w:left="1052" w:hanging="1152"/>
      </w:pPr>
      <w:rPr>
        <w:rFonts w:hint="default"/>
      </w:rPr>
    </w:lvl>
    <w:lvl w:ilvl="6" w:tentative="0">
      <w:start w:val="1"/>
      <w:numFmt w:val="decimal"/>
      <w:pStyle w:val="9"/>
      <w:lvlText w:val="%1.%2.%3.%4.%5.%6.%7"/>
      <w:lvlJc w:val="left"/>
      <w:pPr>
        <w:tabs>
          <w:tab w:val="left" w:pos="1196"/>
        </w:tabs>
        <w:ind w:left="1196" w:hanging="1296"/>
      </w:pPr>
      <w:rPr>
        <w:rFonts w:hint="default"/>
        <w:b w:val="0"/>
        <w:i w:val="0"/>
        <w:caps w:val="0"/>
        <w:strike w:val="0"/>
        <w:dstrike w:val="0"/>
        <w:vanish w:val="0"/>
        <w:sz w:val="22"/>
        <w:vertAlign w:val="baseline"/>
      </w:rPr>
    </w:lvl>
    <w:lvl w:ilvl="7" w:tentative="0">
      <w:start w:val="1"/>
      <w:numFmt w:val="decimal"/>
      <w:pStyle w:val="10"/>
      <w:lvlText w:val="%1.%2.%3.%4.%5.%6.%7.%8"/>
      <w:lvlJc w:val="left"/>
      <w:pPr>
        <w:tabs>
          <w:tab w:val="left" w:pos="1340"/>
        </w:tabs>
        <w:ind w:left="1340" w:hanging="1440"/>
      </w:pPr>
      <w:rPr>
        <w:rFonts w:hint="default"/>
      </w:rPr>
    </w:lvl>
    <w:lvl w:ilvl="8" w:tentative="0">
      <w:start w:val="1"/>
      <w:numFmt w:val="decimal"/>
      <w:pStyle w:val="11"/>
      <w:lvlText w:val="%1.%2.%3.%4.%5.%6.%7.%8.%9"/>
      <w:lvlJc w:val="left"/>
      <w:pPr>
        <w:tabs>
          <w:tab w:val="left" w:pos="1484"/>
        </w:tabs>
        <w:ind w:left="1484" w:hanging="1584"/>
      </w:pPr>
      <w:rPr>
        <w:rFonts w:hint="default"/>
      </w:rPr>
    </w:lvl>
  </w:abstractNum>
  <w:abstractNum w:abstractNumId="8">
    <w:nsid w:val="7AE029BD"/>
    <w:multiLevelType w:val="multilevel"/>
    <w:tmpl w:val="7AE029BD"/>
    <w:lvl w:ilvl="0" w:tentative="0">
      <w:start w:val="1"/>
      <w:numFmt w:val="decimal"/>
      <w:lvlText w:val="%1"/>
      <w:lvlJc w:val="left"/>
      <w:pPr>
        <w:tabs>
          <w:tab w:val="left" w:pos="907"/>
        </w:tabs>
        <w:ind w:left="851" w:hanging="851"/>
      </w:pPr>
      <w:rPr>
        <w:rFonts w:hint="eastAsia"/>
        <w:b w:val="0"/>
        <w:i w:val="0"/>
      </w:rPr>
    </w:lvl>
    <w:lvl w:ilvl="1" w:tentative="0">
      <w:start w:val="1"/>
      <w:numFmt w:val="none"/>
      <w:lvlText w:val="5.1"/>
      <w:lvlJc w:val="left"/>
      <w:pPr>
        <w:tabs>
          <w:tab w:val="left" w:pos="914"/>
        </w:tabs>
        <w:ind w:left="914" w:hanging="576"/>
      </w:pPr>
      <w:rPr>
        <w:rFonts w:hint="eastAsia"/>
        <w:b w:val="0"/>
        <w:i w:val="0"/>
        <w:caps w:val="0"/>
        <w:strike w:val="0"/>
        <w:dstrike w:val="0"/>
        <w:vanish w:val="0"/>
        <w:color w:val="000000"/>
        <w:sz w:val="24"/>
        <w:szCs w:val="24"/>
        <w:vertAlign w:val="baseline"/>
      </w:rPr>
    </w:lvl>
    <w:lvl w:ilvl="2" w:tentative="0">
      <w:start w:val="1"/>
      <w:numFmt w:val="decimal"/>
      <w:lvlText w:val="%1.%2.%3"/>
      <w:lvlJc w:val="left"/>
      <w:pPr>
        <w:tabs>
          <w:tab w:val="left" w:pos="1058"/>
        </w:tabs>
        <w:ind w:left="1058" w:hanging="720"/>
      </w:pPr>
      <w:rPr>
        <w:rFonts w:hint="default"/>
      </w:rPr>
    </w:lvl>
    <w:lvl w:ilvl="3" w:tentative="0">
      <w:start w:val="1"/>
      <w:numFmt w:val="decimal"/>
      <w:lvlText w:val="%1.%2.%3.%4"/>
      <w:lvlJc w:val="left"/>
      <w:pPr>
        <w:tabs>
          <w:tab w:val="left" w:pos="1202"/>
        </w:tabs>
        <w:ind w:left="1202" w:hanging="864"/>
      </w:pPr>
      <w:rPr>
        <w:rFonts w:hint="default"/>
      </w:rPr>
    </w:lvl>
    <w:lvl w:ilvl="4" w:tentative="0">
      <w:start w:val="1"/>
      <w:numFmt w:val="decimal"/>
      <w:lvlText w:val="%1.%2.%3.%4.%5"/>
      <w:lvlJc w:val="left"/>
      <w:pPr>
        <w:tabs>
          <w:tab w:val="left" w:pos="1346"/>
        </w:tabs>
        <w:ind w:left="1346" w:hanging="1008"/>
      </w:pPr>
      <w:rPr>
        <w:rFonts w:hint="default"/>
      </w:rPr>
    </w:lvl>
    <w:lvl w:ilvl="5" w:tentative="0">
      <w:start w:val="1"/>
      <w:numFmt w:val="decimal"/>
      <w:lvlText w:val="%1.%2.%3.%4.%5.%6"/>
      <w:lvlJc w:val="left"/>
      <w:pPr>
        <w:tabs>
          <w:tab w:val="left" w:pos="1490"/>
        </w:tabs>
        <w:ind w:left="1490" w:hanging="1152"/>
      </w:pPr>
      <w:rPr>
        <w:rFonts w:hint="default"/>
      </w:rPr>
    </w:lvl>
    <w:lvl w:ilvl="6" w:tentative="0">
      <w:start w:val="1"/>
      <w:numFmt w:val="decimal"/>
      <w:lvlText w:val="%1.%2.%3.%4.%5.%6.%7"/>
      <w:lvlJc w:val="left"/>
      <w:pPr>
        <w:tabs>
          <w:tab w:val="left" w:pos="1634"/>
        </w:tabs>
        <w:ind w:left="1634" w:hanging="1296"/>
      </w:pPr>
      <w:rPr>
        <w:rFonts w:hint="default"/>
        <w:b w:val="0"/>
        <w:i w:val="0"/>
        <w:caps w:val="0"/>
        <w:strike w:val="0"/>
        <w:dstrike w:val="0"/>
        <w:vanish w:val="0"/>
        <w:sz w:val="22"/>
        <w:vertAlign w:val="baseline"/>
      </w:rPr>
    </w:lvl>
    <w:lvl w:ilvl="7" w:tentative="0">
      <w:start w:val="1"/>
      <w:numFmt w:val="decimal"/>
      <w:lvlText w:val="%1.%2.%3.%4.%5.%6.%7.%8"/>
      <w:lvlJc w:val="left"/>
      <w:pPr>
        <w:tabs>
          <w:tab w:val="left" w:pos="1778"/>
        </w:tabs>
        <w:ind w:left="1778" w:hanging="1440"/>
      </w:pPr>
      <w:rPr>
        <w:rFonts w:hint="default"/>
      </w:rPr>
    </w:lvl>
    <w:lvl w:ilvl="8" w:tentative="0">
      <w:start w:val="1"/>
      <w:numFmt w:val="decimal"/>
      <w:lvlText w:val="%1.%2.%3.%4.%5.%6.%7.%8.%9"/>
      <w:lvlJc w:val="left"/>
      <w:pPr>
        <w:tabs>
          <w:tab w:val="left" w:pos="1922"/>
        </w:tabs>
        <w:ind w:left="1922" w:hanging="1584"/>
      </w:pPr>
      <w:rPr>
        <w:rFonts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5B"/>
    <w:rsid w:val="00006363"/>
    <w:rsid w:val="00011D5B"/>
    <w:rsid w:val="0007645D"/>
    <w:rsid w:val="00080A71"/>
    <w:rsid w:val="00084E88"/>
    <w:rsid w:val="00094D02"/>
    <w:rsid w:val="00097309"/>
    <w:rsid w:val="000D221A"/>
    <w:rsid w:val="000E00CA"/>
    <w:rsid w:val="000E3D5C"/>
    <w:rsid w:val="000F1ABB"/>
    <w:rsid w:val="00135314"/>
    <w:rsid w:val="00194B9C"/>
    <w:rsid w:val="001A48C4"/>
    <w:rsid w:val="001C3D62"/>
    <w:rsid w:val="00205323"/>
    <w:rsid w:val="002058BD"/>
    <w:rsid w:val="00213854"/>
    <w:rsid w:val="00240C02"/>
    <w:rsid w:val="00267D32"/>
    <w:rsid w:val="00291BA9"/>
    <w:rsid w:val="002E2E7F"/>
    <w:rsid w:val="00324FDA"/>
    <w:rsid w:val="003361DE"/>
    <w:rsid w:val="003632CC"/>
    <w:rsid w:val="00387AE0"/>
    <w:rsid w:val="003953B2"/>
    <w:rsid w:val="003A23B1"/>
    <w:rsid w:val="003B3F88"/>
    <w:rsid w:val="0041772F"/>
    <w:rsid w:val="00454113"/>
    <w:rsid w:val="00556C28"/>
    <w:rsid w:val="005846A6"/>
    <w:rsid w:val="005E3489"/>
    <w:rsid w:val="005F0979"/>
    <w:rsid w:val="006079D6"/>
    <w:rsid w:val="00616F65"/>
    <w:rsid w:val="0067139F"/>
    <w:rsid w:val="0069407B"/>
    <w:rsid w:val="006A1329"/>
    <w:rsid w:val="007550BF"/>
    <w:rsid w:val="007972E6"/>
    <w:rsid w:val="007C0840"/>
    <w:rsid w:val="00813DC5"/>
    <w:rsid w:val="00817B8E"/>
    <w:rsid w:val="00826006"/>
    <w:rsid w:val="00895BCF"/>
    <w:rsid w:val="008A564F"/>
    <w:rsid w:val="008C329A"/>
    <w:rsid w:val="008D2EA7"/>
    <w:rsid w:val="008E0374"/>
    <w:rsid w:val="008E3035"/>
    <w:rsid w:val="00921609"/>
    <w:rsid w:val="00934015"/>
    <w:rsid w:val="00943685"/>
    <w:rsid w:val="00957728"/>
    <w:rsid w:val="009B050E"/>
    <w:rsid w:val="009B6394"/>
    <w:rsid w:val="009C7C15"/>
    <w:rsid w:val="009F7A4A"/>
    <w:rsid w:val="00A9049D"/>
    <w:rsid w:val="00AB0083"/>
    <w:rsid w:val="00AB18A2"/>
    <w:rsid w:val="00AB1DB2"/>
    <w:rsid w:val="00AD06E5"/>
    <w:rsid w:val="00AD375D"/>
    <w:rsid w:val="00B62D00"/>
    <w:rsid w:val="00B70583"/>
    <w:rsid w:val="00B7673E"/>
    <w:rsid w:val="00B83497"/>
    <w:rsid w:val="00B90DCA"/>
    <w:rsid w:val="00BD35F3"/>
    <w:rsid w:val="00BE45A3"/>
    <w:rsid w:val="00BE645B"/>
    <w:rsid w:val="00C0603B"/>
    <w:rsid w:val="00C36EF0"/>
    <w:rsid w:val="00C6556C"/>
    <w:rsid w:val="00C70E65"/>
    <w:rsid w:val="00C731B9"/>
    <w:rsid w:val="00C86401"/>
    <w:rsid w:val="00C90C56"/>
    <w:rsid w:val="00CA11B5"/>
    <w:rsid w:val="00CC6FCB"/>
    <w:rsid w:val="00D10C9D"/>
    <w:rsid w:val="00D126FD"/>
    <w:rsid w:val="00D13850"/>
    <w:rsid w:val="00D1471C"/>
    <w:rsid w:val="00D2099B"/>
    <w:rsid w:val="00D5721B"/>
    <w:rsid w:val="00D60C8E"/>
    <w:rsid w:val="00DA77A8"/>
    <w:rsid w:val="00DE234D"/>
    <w:rsid w:val="00DE236D"/>
    <w:rsid w:val="00DF4DDA"/>
    <w:rsid w:val="00E01AF7"/>
    <w:rsid w:val="00E770C6"/>
    <w:rsid w:val="00EC1E10"/>
    <w:rsid w:val="00EC400F"/>
    <w:rsid w:val="00ED5D98"/>
    <w:rsid w:val="00F140CF"/>
    <w:rsid w:val="00F561C6"/>
    <w:rsid w:val="00F64B41"/>
    <w:rsid w:val="00F67957"/>
    <w:rsid w:val="00F75E33"/>
    <w:rsid w:val="00F8402E"/>
    <w:rsid w:val="00FE56F7"/>
    <w:rsid w:val="028C41A3"/>
    <w:rsid w:val="21F93759"/>
    <w:rsid w:val="3EA76F8B"/>
    <w:rsid w:val="4A6D6426"/>
    <w:rsid w:val="562D6A45"/>
    <w:rsid w:val="6E5E3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jc w:val="both"/>
    </w:pPr>
    <w:rPr>
      <w:rFonts w:ascii="Times New Roman" w:hAnsi="Times New Roman" w:eastAsia="仿宋体" w:cs="Times New Roman"/>
      <w:kern w:val="2"/>
      <w:sz w:val="24"/>
      <w:lang w:val="en-US" w:eastAsia="zh-CN" w:bidi="ar-SA"/>
    </w:rPr>
  </w:style>
  <w:style w:type="paragraph" w:styleId="2">
    <w:name w:val="heading 1"/>
    <w:basedOn w:val="1"/>
    <w:next w:val="1"/>
    <w:link w:val="21"/>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22"/>
    <w:unhideWhenUsed/>
    <w:qFormat/>
    <w:uiPriority w:val="0"/>
    <w:pPr>
      <w:keepNext/>
      <w:keepLines/>
      <w:numPr>
        <w:ilvl w:val="1"/>
        <w:numId w:val="1"/>
      </w:numPr>
      <w:tabs>
        <w:tab w:val="clear" w:pos="709"/>
      </w:tabs>
      <w:spacing w:beforeLines="50" w:after="100" w:afterAutospacing="1"/>
      <w:outlineLvl w:val="1"/>
    </w:pPr>
    <w:rPr>
      <w:rFonts w:ascii="仿宋_GB2312" w:hAnsi="Cambria" w:eastAsia="仿宋_GB2312"/>
      <w:bCs/>
      <w:kern w:val="32"/>
      <w:szCs w:val="24"/>
    </w:rPr>
  </w:style>
  <w:style w:type="paragraph" w:styleId="4">
    <w:name w:val="heading 3"/>
    <w:basedOn w:val="1"/>
    <w:next w:val="1"/>
    <w:link w:val="23"/>
    <w:unhideWhenUsed/>
    <w:qFormat/>
    <w:uiPriority w:val="0"/>
    <w:pPr>
      <w:keepNext/>
      <w:keepLines/>
      <w:numPr>
        <w:ilvl w:val="2"/>
        <w:numId w:val="1"/>
      </w:numPr>
      <w:spacing w:before="260" w:after="260" w:line="416" w:lineRule="auto"/>
      <w:outlineLvl w:val="2"/>
    </w:pPr>
    <w:rPr>
      <w:rFonts w:eastAsia="仿宋_GB2312"/>
      <w:bCs/>
      <w:szCs w:val="32"/>
    </w:rPr>
  </w:style>
  <w:style w:type="paragraph" w:styleId="5">
    <w:name w:val="heading 4"/>
    <w:basedOn w:val="1"/>
    <w:next w:val="1"/>
    <w:link w:val="24"/>
    <w:qFormat/>
    <w:uiPriority w:val="0"/>
    <w:pPr>
      <w:keepNext/>
      <w:numPr>
        <w:ilvl w:val="3"/>
        <w:numId w:val="1"/>
      </w:numPr>
      <w:spacing w:line="400" w:lineRule="exact"/>
      <w:outlineLvl w:val="3"/>
    </w:pPr>
    <w:rPr>
      <w:rFonts w:eastAsia="仿宋_GB2312"/>
    </w:rPr>
  </w:style>
  <w:style w:type="paragraph" w:styleId="6">
    <w:name w:val="heading 5"/>
    <w:basedOn w:val="1"/>
    <w:next w:val="7"/>
    <w:link w:val="25"/>
    <w:qFormat/>
    <w:uiPriority w:val="0"/>
    <w:pPr>
      <w:numPr>
        <w:ilvl w:val="4"/>
        <w:numId w:val="1"/>
      </w:numPr>
      <w:spacing w:line="400" w:lineRule="exact"/>
      <w:outlineLvl w:val="4"/>
    </w:pPr>
    <w:rPr>
      <w:rFonts w:eastAsia="仿宋_GB2312"/>
      <w:lang w:val="en-GB"/>
    </w:rPr>
  </w:style>
  <w:style w:type="paragraph" w:styleId="8">
    <w:name w:val="heading 6"/>
    <w:basedOn w:val="1"/>
    <w:next w:val="7"/>
    <w:link w:val="26"/>
    <w:qFormat/>
    <w:uiPriority w:val="0"/>
    <w:pPr>
      <w:keepNext/>
      <w:numPr>
        <w:ilvl w:val="5"/>
        <w:numId w:val="1"/>
      </w:numPr>
      <w:tabs>
        <w:tab w:val="left" w:pos="1701"/>
        <w:tab w:val="left" w:pos="2552"/>
        <w:tab w:val="left" w:pos="3402"/>
        <w:tab w:val="left" w:pos="5103"/>
        <w:tab w:val="left" w:pos="5954"/>
        <w:tab w:val="left" w:pos="6804"/>
        <w:tab w:val="left" w:pos="7655"/>
        <w:tab w:val="left" w:pos="8505"/>
        <w:tab w:val="left" w:pos="9356"/>
        <w:tab w:val="left" w:pos="10206"/>
      </w:tabs>
      <w:spacing w:line="400" w:lineRule="exact"/>
      <w:outlineLvl w:val="5"/>
    </w:pPr>
    <w:rPr>
      <w:rFonts w:eastAsia="仿宋_GB2312"/>
      <w:lang w:val="en-GB"/>
    </w:rPr>
  </w:style>
  <w:style w:type="paragraph" w:styleId="9">
    <w:name w:val="heading 7"/>
    <w:basedOn w:val="1"/>
    <w:next w:val="7"/>
    <w:link w:val="27"/>
    <w:qFormat/>
    <w:uiPriority w:val="0"/>
    <w:pPr>
      <w:numPr>
        <w:ilvl w:val="6"/>
        <w:numId w:val="1"/>
      </w:numPr>
      <w:spacing w:line="400" w:lineRule="exact"/>
      <w:outlineLvl w:val="6"/>
    </w:pPr>
    <w:rPr>
      <w:rFonts w:eastAsia="仿宋_GB2312"/>
    </w:rPr>
  </w:style>
  <w:style w:type="paragraph" w:styleId="10">
    <w:name w:val="heading 8"/>
    <w:basedOn w:val="1"/>
    <w:next w:val="7"/>
    <w:link w:val="28"/>
    <w:qFormat/>
    <w:uiPriority w:val="0"/>
    <w:pPr>
      <w:numPr>
        <w:ilvl w:val="7"/>
        <w:numId w:val="1"/>
      </w:numPr>
      <w:spacing w:line="360" w:lineRule="auto"/>
      <w:outlineLvl w:val="7"/>
    </w:pPr>
    <w:rPr>
      <w:rFonts w:eastAsia="仿宋_GB2312"/>
      <w:lang w:val="en-GB"/>
    </w:rPr>
  </w:style>
  <w:style w:type="paragraph" w:styleId="11">
    <w:name w:val="heading 9"/>
    <w:basedOn w:val="1"/>
    <w:next w:val="7"/>
    <w:link w:val="29"/>
    <w:qFormat/>
    <w:uiPriority w:val="0"/>
    <w:pPr>
      <w:keepNext/>
      <w:widowControl/>
      <w:numPr>
        <w:ilvl w:val="8"/>
        <w:numId w:val="1"/>
      </w:numPr>
      <w:tabs>
        <w:tab w:val="left" w:pos="1208"/>
        <w:tab w:val="left" w:pos="4007"/>
        <w:tab w:val="left" w:pos="4643"/>
        <w:tab w:val="left" w:pos="5215"/>
        <w:tab w:val="left" w:pos="5760"/>
        <w:tab w:val="left" w:pos="6120"/>
        <w:tab w:val="left" w:pos="8208"/>
        <w:tab w:val="left" w:pos="9072"/>
      </w:tabs>
      <w:suppressAutoHyphens/>
      <w:spacing w:line="400" w:lineRule="exact"/>
      <w:jc w:val="center"/>
      <w:outlineLvl w:val="8"/>
    </w:pPr>
    <w:rPr>
      <w:rFonts w:eastAsia="仿宋_GB2312"/>
      <w:b/>
      <w:sz w:val="30"/>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0"/>
    <w:pPr>
      <w:ind w:firstLine="420" w:firstLineChars="200"/>
    </w:pPr>
  </w:style>
  <w:style w:type="paragraph" w:styleId="12">
    <w:name w:val="Body Text Indent"/>
    <w:basedOn w:val="1"/>
    <w:link w:val="18"/>
    <w:qFormat/>
    <w:uiPriority w:val="0"/>
    <w:pPr>
      <w:ind w:left="360"/>
    </w:pPr>
    <w:rPr>
      <w:sz w:val="28"/>
    </w:rPr>
  </w:style>
  <w:style w:type="paragraph" w:styleId="13">
    <w:name w:val="Balloon Text"/>
    <w:basedOn w:val="1"/>
    <w:link w:val="35"/>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 w:val="clear" w:pos="709"/>
        <w:tab w:val="clear" w:pos="1418"/>
        <w:tab w:val="clear" w:pos="2126"/>
        <w:tab w:val="clear" w:pos="2835"/>
        <w:tab w:val="clear" w:pos="3544"/>
        <w:tab w:val="clear" w:pos="4253"/>
        <w:tab w:val="clear" w:pos="4961"/>
        <w:tab w:val="clear" w:pos="5670"/>
        <w:tab w:val="clear" w:pos="6379"/>
        <w:tab w:val="clear" w:pos="7088"/>
      </w:tabs>
      <w:jc w:val="left"/>
    </w:pPr>
    <w:rPr>
      <w:sz w:val="18"/>
      <w:szCs w:val="18"/>
    </w:rPr>
  </w:style>
  <w:style w:type="paragraph" w:styleId="15">
    <w:name w:val="header"/>
    <w:basedOn w:val="1"/>
    <w:link w:val="31"/>
    <w:semiHidden/>
    <w:unhideWhenUsed/>
    <w:qFormat/>
    <w:uiPriority w:val="99"/>
    <w:pPr>
      <w:pBdr>
        <w:bottom w:val="single" w:color="auto" w:sz="6" w:space="1"/>
      </w:pBdr>
      <w:tabs>
        <w:tab w:val="center" w:pos="4153"/>
        <w:tab w:val="right" w:pos="8306"/>
        <w:tab w:val="clear" w:pos="709"/>
        <w:tab w:val="clear" w:pos="1418"/>
        <w:tab w:val="clear" w:pos="2126"/>
        <w:tab w:val="clear" w:pos="2835"/>
        <w:tab w:val="clear" w:pos="3544"/>
        <w:tab w:val="clear" w:pos="4253"/>
        <w:tab w:val="clear" w:pos="4961"/>
        <w:tab w:val="clear" w:pos="5670"/>
        <w:tab w:val="clear" w:pos="6379"/>
        <w:tab w:val="clear" w:pos="7088"/>
      </w:tabs>
      <w:jc w:val="center"/>
    </w:pPr>
    <w:rPr>
      <w:sz w:val="18"/>
      <w:szCs w:val="18"/>
    </w:rPr>
  </w:style>
  <w:style w:type="character" w:customStyle="1" w:styleId="18">
    <w:name w:val="正文文本缩进 Char"/>
    <w:basedOn w:val="17"/>
    <w:link w:val="12"/>
    <w:qFormat/>
    <w:uiPriority w:val="0"/>
    <w:rPr>
      <w:rFonts w:ascii="Times New Roman" w:hAnsi="Times New Roman" w:eastAsia="仿宋体" w:cs="Times New Roman"/>
      <w:sz w:val="28"/>
      <w:szCs w:val="20"/>
    </w:rPr>
  </w:style>
  <w:style w:type="paragraph" w:customStyle="1" w:styleId="19">
    <w:name w:val="列出段落1"/>
    <w:basedOn w:val="1"/>
    <w:qFormat/>
    <w:uiPriority w:val="0"/>
    <w:pPr>
      <w:ind w:firstLine="420" w:firstLineChars="200"/>
    </w:pPr>
  </w:style>
  <w:style w:type="paragraph" w:styleId="20">
    <w:name w:val="List Paragraph"/>
    <w:basedOn w:val="1"/>
    <w:qFormat/>
    <w:uiPriority w:val="34"/>
    <w:pPr>
      <w:ind w:firstLine="420" w:firstLineChars="200"/>
    </w:pPr>
  </w:style>
  <w:style w:type="character" w:customStyle="1" w:styleId="21">
    <w:name w:val="标题 1 Char"/>
    <w:basedOn w:val="17"/>
    <w:link w:val="2"/>
    <w:qFormat/>
    <w:uiPriority w:val="0"/>
    <w:rPr>
      <w:rFonts w:ascii="Times New Roman" w:hAnsi="Times New Roman" w:eastAsia="仿宋体" w:cs="Times New Roman"/>
      <w:b/>
      <w:bCs/>
      <w:kern w:val="44"/>
      <w:sz w:val="32"/>
      <w:szCs w:val="44"/>
    </w:rPr>
  </w:style>
  <w:style w:type="character" w:customStyle="1" w:styleId="22">
    <w:name w:val="标题 2 Char"/>
    <w:basedOn w:val="17"/>
    <w:link w:val="3"/>
    <w:qFormat/>
    <w:uiPriority w:val="0"/>
    <w:rPr>
      <w:rFonts w:ascii="仿宋_GB2312" w:hAnsi="Cambria" w:eastAsia="仿宋_GB2312" w:cs="Times New Roman"/>
      <w:bCs/>
      <w:kern w:val="32"/>
      <w:sz w:val="24"/>
      <w:szCs w:val="24"/>
    </w:rPr>
  </w:style>
  <w:style w:type="character" w:customStyle="1" w:styleId="23">
    <w:name w:val="标题 3 Char"/>
    <w:basedOn w:val="17"/>
    <w:link w:val="4"/>
    <w:qFormat/>
    <w:uiPriority w:val="0"/>
    <w:rPr>
      <w:rFonts w:ascii="Times New Roman" w:hAnsi="Times New Roman" w:eastAsia="仿宋_GB2312" w:cs="Times New Roman"/>
      <w:bCs/>
      <w:sz w:val="24"/>
      <w:szCs w:val="32"/>
    </w:rPr>
  </w:style>
  <w:style w:type="character" w:customStyle="1" w:styleId="24">
    <w:name w:val="标题 4 Char"/>
    <w:basedOn w:val="17"/>
    <w:link w:val="5"/>
    <w:qFormat/>
    <w:uiPriority w:val="0"/>
    <w:rPr>
      <w:rFonts w:ascii="Times New Roman" w:hAnsi="Times New Roman" w:eastAsia="仿宋_GB2312" w:cs="Times New Roman"/>
      <w:sz w:val="24"/>
      <w:szCs w:val="20"/>
    </w:rPr>
  </w:style>
  <w:style w:type="character" w:customStyle="1" w:styleId="25">
    <w:name w:val="标题 5 Char"/>
    <w:basedOn w:val="17"/>
    <w:link w:val="6"/>
    <w:qFormat/>
    <w:uiPriority w:val="0"/>
    <w:rPr>
      <w:rFonts w:ascii="Times New Roman" w:hAnsi="Times New Roman" w:eastAsia="仿宋_GB2312" w:cs="Times New Roman"/>
      <w:sz w:val="24"/>
      <w:szCs w:val="20"/>
      <w:lang w:val="en-GB"/>
    </w:rPr>
  </w:style>
  <w:style w:type="character" w:customStyle="1" w:styleId="26">
    <w:name w:val="标题 6 Char"/>
    <w:basedOn w:val="17"/>
    <w:link w:val="8"/>
    <w:qFormat/>
    <w:uiPriority w:val="0"/>
    <w:rPr>
      <w:rFonts w:ascii="Times New Roman" w:hAnsi="Times New Roman" w:eastAsia="仿宋_GB2312" w:cs="Times New Roman"/>
      <w:sz w:val="24"/>
      <w:szCs w:val="20"/>
      <w:lang w:val="en-GB"/>
    </w:rPr>
  </w:style>
  <w:style w:type="character" w:customStyle="1" w:styleId="27">
    <w:name w:val="标题 7 Char"/>
    <w:basedOn w:val="17"/>
    <w:link w:val="9"/>
    <w:qFormat/>
    <w:uiPriority w:val="0"/>
    <w:rPr>
      <w:rFonts w:ascii="Times New Roman" w:hAnsi="Times New Roman" w:eastAsia="仿宋_GB2312" w:cs="Times New Roman"/>
      <w:sz w:val="24"/>
      <w:szCs w:val="20"/>
    </w:rPr>
  </w:style>
  <w:style w:type="character" w:customStyle="1" w:styleId="28">
    <w:name w:val="标题 8 Char"/>
    <w:basedOn w:val="17"/>
    <w:link w:val="10"/>
    <w:qFormat/>
    <w:uiPriority w:val="0"/>
    <w:rPr>
      <w:rFonts w:ascii="Times New Roman" w:hAnsi="Times New Roman" w:eastAsia="仿宋_GB2312" w:cs="Times New Roman"/>
      <w:sz w:val="24"/>
      <w:szCs w:val="20"/>
      <w:lang w:val="en-GB"/>
    </w:rPr>
  </w:style>
  <w:style w:type="character" w:customStyle="1" w:styleId="29">
    <w:name w:val="标题 9 Char"/>
    <w:basedOn w:val="17"/>
    <w:link w:val="11"/>
    <w:qFormat/>
    <w:uiPriority w:val="0"/>
    <w:rPr>
      <w:rFonts w:ascii="Times New Roman" w:hAnsi="Times New Roman" w:eastAsia="仿宋_GB2312" w:cs="Times New Roman"/>
      <w:b/>
      <w:sz w:val="30"/>
      <w:szCs w:val="20"/>
    </w:rPr>
  </w:style>
  <w:style w:type="paragraph" w:customStyle="1" w:styleId="30">
    <w:name w:val="reader-word-layer"/>
    <w:basedOn w:val="1"/>
    <w:qFormat/>
    <w:uiPriority w:val="0"/>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before="100" w:beforeAutospacing="1" w:after="100" w:afterAutospacing="1"/>
      <w:jc w:val="left"/>
    </w:pPr>
    <w:rPr>
      <w:rFonts w:ascii="宋体" w:hAnsi="宋体" w:eastAsia="宋体" w:cs="宋体"/>
      <w:kern w:val="0"/>
      <w:szCs w:val="24"/>
    </w:rPr>
  </w:style>
  <w:style w:type="character" w:customStyle="1" w:styleId="31">
    <w:name w:val="页眉 Char"/>
    <w:basedOn w:val="17"/>
    <w:link w:val="15"/>
    <w:semiHidden/>
    <w:qFormat/>
    <w:uiPriority w:val="99"/>
    <w:rPr>
      <w:rFonts w:ascii="Times New Roman" w:hAnsi="Times New Roman" w:eastAsia="仿宋体" w:cs="Times New Roman"/>
      <w:sz w:val="18"/>
      <w:szCs w:val="18"/>
    </w:rPr>
  </w:style>
  <w:style w:type="character" w:customStyle="1" w:styleId="32">
    <w:name w:val="页脚 Char"/>
    <w:basedOn w:val="17"/>
    <w:link w:val="14"/>
    <w:uiPriority w:val="99"/>
    <w:rPr>
      <w:rFonts w:ascii="Times New Roman" w:hAnsi="Times New Roman" w:eastAsia="仿宋体" w:cs="Times New Roman"/>
      <w:sz w:val="18"/>
      <w:szCs w:val="18"/>
    </w:rPr>
  </w:style>
  <w:style w:type="character" w:customStyle="1" w:styleId="33">
    <w:name w:val="font31"/>
    <w:basedOn w:val="17"/>
    <w:qFormat/>
    <w:uiPriority w:val="0"/>
    <w:rPr>
      <w:rFonts w:hint="eastAsia" w:ascii="宋体" w:hAnsi="宋体" w:eastAsia="宋体" w:cs="宋体"/>
      <w:color w:val="000000"/>
      <w:sz w:val="21"/>
      <w:szCs w:val="21"/>
      <w:u w:val="none"/>
    </w:rPr>
  </w:style>
  <w:style w:type="character" w:customStyle="1" w:styleId="34">
    <w:name w:val="font01"/>
    <w:basedOn w:val="17"/>
    <w:qFormat/>
    <w:uiPriority w:val="0"/>
    <w:rPr>
      <w:rFonts w:ascii="Calibri" w:hAnsi="Calibri" w:cs="Calibri"/>
      <w:color w:val="000000"/>
      <w:sz w:val="21"/>
      <w:szCs w:val="21"/>
      <w:u w:val="none"/>
    </w:rPr>
  </w:style>
  <w:style w:type="character" w:customStyle="1" w:styleId="35">
    <w:name w:val="批注框文本 Char"/>
    <w:basedOn w:val="17"/>
    <w:link w:val="13"/>
    <w:semiHidden/>
    <w:qFormat/>
    <w:uiPriority w:val="99"/>
    <w:rPr>
      <w:rFonts w:eastAsia="仿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54B3D-E0A5-402D-B4C3-1B5C73FC79EC}">
  <ds:schemaRefs/>
</ds:datastoreItem>
</file>

<file path=docProps/app.xml><?xml version="1.0" encoding="utf-8"?>
<Properties xmlns="http://schemas.openxmlformats.org/officeDocument/2006/extended-properties" xmlns:vt="http://schemas.openxmlformats.org/officeDocument/2006/docPropsVTypes">
  <Template>Normal</Template>
  <Company>GCT</Company>
  <Pages>17</Pages>
  <Words>1853</Words>
  <Characters>10566</Characters>
  <Lines>88</Lines>
  <Paragraphs>24</Paragraphs>
  <TotalTime>59</TotalTime>
  <ScaleCrop>false</ScaleCrop>
  <LinksUpToDate>false</LinksUpToDate>
  <CharactersWithSpaces>12395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2019-07-30T10:22:00Z</dcterms:created>
  <dc:creator>jxliang</dc:creator>
  <cp:lastModifiedBy>yifan</cp:lastModifiedBy>
  <cp:lastPrinted>2018-06-25T03:31:00Z</cp:lastPrinted>
  <dcterms:modified xsi:type="dcterms:W3CDTF">2020-07-21T01:19:20Z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