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96AD89">
      <w:pPr>
        <w:keepNext w:val="0"/>
        <w:keepLines w:val="0"/>
        <w:pageBreakBefore w:val="0"/>
        <w:kinsoku/>
        <w:wordWrap/>
        <w:overflowPunct/>
        <w:topLinePunct w:val="0"/>
        <w:autoSpaceDE/>
        <w:autoSpaceDN/>
        <w:bidi w:val="0"/>
        <w:adjustRightInd/>
        <w:spacing w:line="560" w:lineRule="exact"/>
        <w:jc w:val="center"/>
        <w:textAlignment w:val="center"/>
        <w:rPr>
          <w:rFonts w:hint="eastAsia" w:ascii="宋体" w:hAnsi="宋体" w:eastAsia="宋体" w:cs="宋体"/>
          <w:b/>
          <w:bCs/>
          <w:color w:val="auto"/>
          <w:sz w:val="44"/>
          <w:szCs w:val="44"/>
        </w:rPr>
      </w:pPr>
      <w:bookmarkStart w:id="0" w:name="_GoBack"/>
      <w:bookmarkEnd w:id="0"/>
      <w:r>
        <w:rPr>
          <w:rFonts w:hint="eastAsia" w:ascii="仿宋_GB2312" w:hAnsi="仿宋_GB2312" w:eastAsia="仿宋_GB2312" w:cs="仿宋_GB2312"/>
          <w:color w:val="auto"/>
          <w:sz w:val="32"/>
          <w:szCs w:val="32"/>
        </w:rPr>
        <w:t xml:space="preserve">   </w:t>
      </w:r>
      <w:r>
        <w:rPr>
          <w:rFonts w:hint="eastAsia" w:ascii="宋体" w:hAnsi="宋体" w:eastAsia="宋体" w:cs="宋体"/>
          <w:b/>
          <w:bCs/>
          <w:color w:val="auto"/>
          <w:sz w:val="44"/>
          <w:szCs w:val="44"/>
          <w:lang w:val="en-US" w:eastAsia="zh-CN"/>
        </w:rPr>
        <w:t>港口作业</w:t>
      </w:r>
      <w:r>
        <w:rPr>
          <w:rFonts w:hint="eastAsia" w:ascii="宋体" w:hAnsi="宋体" w:eastAsia="宋体" w:cs="宋体"/>
          <w:b/>
          <w:bCs/>
          <w:color w:val="auto"/>
          <w:sz w:val="44"/>
          <w:szCs w:val="44"/>
        </w:rPr>
        <w:t>安全生产管理协议</w:t>
      </w:r>
    </w:p>
    <w:p w14:paraId="7551B5B3">
      <w:pPr>
        <w:keepNext w:val="0"/>
        <w:keepLines w:val="0"/>
        <w:pageBreakBefore w:val="0"/>
        <w:kinsoku/>
        <w:wordWrap/>
        <w:overflowPunct/>
        <w:topLinePunct w:val="0"/>
        <w:autoSpaceDE/>
        <w:autoSpaceDN/>
        <w:bidi w:val="0"/>
        <w:adjustRightInd/>
        <w:spacing w:line="560" w:lineRule="exact"/>
        <w:textAlignment w:val="center"/>
        <w:rPr>
          <w:rFonts w:hint="eastAsia"/>
          <w:color w:val="auto"/>
        </w:rPr>
      </w:pPr>
    </w:p>
    <w:p w14:paraId="5BC6CD0E">
      <w:pPr>
        <w:keepNext w:val="0"/>
        <w:keepLines w:val="0"/>
        <w:pageBreakBefore w:val="0"/>
        <w:kinsoku/>
        <w:wordWrap/>
        <w:overflowPunct/>
        <w:topLinePunct w:val="0"/>
        <w:autoSpaceDE/>
        <w:autoSpaceDN/>
        <w:bidi w:val="0"/>
        <w:adjustRightInd/>
        <w:spacing w:line="560" w:lineRule="exact"/>
        <w:textAlignment w:val="center"/>
        <w:rPr>
          <w:rFonts w:hint="default" w:eastAsia="仿宋_GB2312"/>
          <w:color w:val="auto"/>
          <w:u w:val="single"/>
          <w:lang w:val="en-US" w:eastAsia="zh-CN"/>
        </w:rPr>
      </w:pPr>
      <w:r>
        <w:rPr>
          <w:rFonts w:hint="eastAsia"/>
          <w:color w:val="auto"/>
        </w:rPr>
        <w:t>甲方【发包方全称】：</w:t>
      </w:r>
      <w:r>
        <w:rPr>
          <w:rFonts w:hint="eastAsia"/>
          <w:color w:val="auto"/>
          <w:u w:val="single"/>
        </w:rPr>
        <w:t xml:space="preserve">                         </w:t>
      </w:r>
      <w:r>
        <w:rPr>
          <w:rFonts w:hint="eastAsia"/>
          <w:color w:val="auto"/>
          <w:u w:val="single"/>
          <w:lang w:val="en-US" w:eastAsia="zh-CN"/>
        </w:rPr>
        <w:t xml:space="preserve">     </w:t>
      </w:r>
    </w:p>
    <w:p w14:paraId="434F91F8">
      <w:pPr>
        <w:keepNext w:val="0"/>
        <w:keepLines w:val="0"/>
        <w:pageBreakBefore w:val="0"/>
        <w:kinsoku/>
        <w:wordWrap/>
        <w:overflowPunct/>
        <w:topLinePunct w:val="0"/>
        <w:autoSpaceDE/>
        <w:autoSpaceDN/>
        <w:bidi w:val="0"/>
        <w:adjustRightInd/>
        <w:spacing w:line="560" w:lineRule="exact"/>
        <w:textAlignment w:val="center"/>
        <w:rPr>
          <w:rFonts w:hint="default"/>
          <w:color w:val="auto"/>
          <w:u w:val="single"/>
          <w:lang w:val="en-US"/>
        </w:rPr>
      </w:pPr>
      <w:r>
        <w:rPr>
          <w:rFonts w:hint="eastAsia"/>
          <w:color w:val="auto"/>
        </w:rPr>
        <w:t>地址：</w:t>
      </w:r>
      <w:r>
        <w:rPr>
          <w:rFonts w:hint="eastAsia"/>
          <w:color w:val="auto"/>
          <w:u w:val="single"/>
        </w:rPr>
        <w:t xml:space="preserve">                                         </w:t>
      </w:r>
      <w:r>
        <w:rPr>
          <w:rFonts w:hint="eastAsia"/>
          <w:color w:val="auto"/>
          <w:u w:val="single"/>
          <w:lang w:val="en-US" w:eastAsia="zh-CN"/>
        </w:rPr>
        <w:t xml:space="preserve">   </w:t>
      </w:r>
    </w:p>
    <w:p w14:paraId="5B4B9646">
      <w:pPr>
        <w:keepNext w:val="0"/>
        <w:keepLines w:val="0"/>
        <w:pageBreakBefore w:val="0"/>
        <w:kinsoku/>
        <w:wordWrap/>
        <w:overflowPunct/>
        <w:topLinePunct w:val="0"/>
        <w:autoSpaceDE/>
        <w:autoSpaceDN/>
        <w:bidi w:val="0"/>
        <w:adjustRightInd/>
        <w:spacing w:line="560" w:lineRule="exact"/>
        <w:textAlignment w:val="center"/>
        <w:rPr>
          <w:rFonts w:hint="eastAsia"/>
          <w:color w:val="auto"/>
          <w:u w:val="single"/>
        </w:rPr>
      </w:pPr>
      <w:r>
        <w:rPr>
          <w:rFonts w:hint="eastAsia"/>
          <w:color w:val="auto"/>
        </w:rPr>
        <w:t>负责人：</w:t>
      </w:r>
      <w:r>
        <w:rPr>
          <w:rFonts w:hint="eastAsia"/>
          <w:color w:val="auto"/>
          <w:u w:val="single"/>
        </w:rPr>
        <w:t xml:space="preserve">               </w:t>
      </w:r>
    </w:p>
    <w:p w14:paraId="74C8057A">
      <w:pPr>
        <w:keepNext w:val="0"/>
        <w:keepLines w:val="0"/>
        <w:pageBreakBefore w:val="0"/>
        <w:kinsoku/>
        <w:wordWrap/>
        <w:overflowPunct/>
        <w:topLinePunct w:val="0"/>
        <w:autoSpaceDE/>
        <w:autoSpaceDN/>
        <w:bidi w:val="0"/>
        <w:adjustRightInd/>
        <w:spacing w:line="560" w:lineRule="exact"/>
        <w:textAlignment w:val="center"/>
        <w:rPr>
          <w:rFonts w:hint="eastAsia"/>
          <w:color w:val="auto"/>
        </w:rPr>
      </w:pPr>
    </w:p>
    <w:p w14:paraId="5DF6BCE1">
      <w:pPr>
        <w:keepNext w:val="0"/>
        <w:keepLines w:val="0"/>
        <w:pageBreakBefore w:val="0"/>
        <w:kinsoku/>
        <w:wordWrap/>
        <w:overflowPunct/>
        <w:topLinePunct w:val="0"/>
        <w:autoSpaceDE/>
        <w:autoSpaceDN/>
        <w:bidi w:val="0"/>
        <w:adjustRightInd/>
        <w:spacing w:line="560" w:lineRule="exact"/>
        <w:textAlignment w:val="center"/>
        <w:rPr>
          <w:rFonts w:hint="default" w:eastAsia="仿宋_GB2312"/>
          <w:color w:val="auto"/>
          <w:u w:val="single"/>
          <w:lang w:val="en-US" w:eastAsia="zh-CN"/>
        </w:rPr>
      </w:pPr>
      <w:r>
        <w:rPr>
          <w:rFonts w:hint="eastAsia"/>
          <w:color w:val="auto"/>
        </w:rPr>
        <w:t>乙方【承包方全称】：</w:t>
      </w:r>
      <w:r>
        <w:rPr>
          <w:rFonts w:hint="eastAsia"/>
          <w:color w:val="auto"/>
          <w:u w:val="single"/>
        </w:rPr>
        <w:t xml:space="preserve">                            </w:t>
      </w:r>
      <w:r>
        <w:rPr>
          <w:rFonts w:hint="eastAsia"/>
          <w:color w:val="auto"/>
          <w:u w:val="single"/>
          <w:lang w:val="en-US" w:eastAsia="zh-CN"/>
        </w:rPr>
        <w:t xml:space="preserve">  </w:t>
      </w:r>
    </w:p>
    <w:p w14:paraId="50F24B3F">
      <w:pPr>
        <w:keepNext w:val="0"/>
        <w:keepLines w:val="0"/>
        <w:pageBreakBefore w:val="0"/>
        <w:kinsoku/>
        <w:wordWrap/>
        <w:overflowPunct/>
        <w:topLinePunct w:val="0"/>
        <w:autoSpaceDE/>
        <w:autoSpaceDN/>
        <w:bidi w:val="0"/>
        <w:adjustRightInd/>
        <w:spacing w:line="560" w:lineRule="exact"/>
        <w:textAlignment w:val="center"/>
        <w:rPr>
          <w:rFonts w:hint="default" w:eastAsia="仿宋_GB2312"/>
          <w:color w:val="auto"/>
          <w:u w:val="single"/>
          <w:lang w:val="en-US" w:eastAsia="zh-CN"/>
        </w:rPr>
      </w:pPr>
      <w:r>
        <w:rPr>
          <w:rFonts w:hint="eastAsia"/>
          <w:color w:val="auto"/>
        </w:rPr>
        <w:t>地址：</w:t>
      </w:r>
      <w:r>
        <w:rPr>
          <w:rFonts w:hint="eastAsia"/>
          <w:color w:val="auto"/>
          <w:u w:val="single"/>
        </w:rPr>
        <w:t xml:space="preserve">                                          </w:t>
      </w:r>
      <w:r>
        <w:rPr>
          <w:rFonts w:hint="eastAsia"/>
          <w:color w:val="auto"/>
          <w:u w:val="single"/>
          <w:lang w:val="en-US" w:eastAsia="zh-CN"/>
        </w:rPr>
        <w:t xml:space="preserve">  </w:t>
      </w:r>
    </w:p>
    <w:p w14:paraId="6D42F58D">
      <w:pPr>
        <w:keepNext w:val="0"/>
        <w:keepLines w:val="0"/>
        <w:pageBreakBefore w:val="0"/>
        <w:kinsoku/>
        <w:wordWrap/>
        <w:overflowPunct/>
        <w:topLinePunct w:val="0"/>
        <w:autoSpaceDE/>
        <w:autoSpaceDN/>
        <w:bidi w:val="0"/>
        <w:adjustRightInd/>
        <w:spacing w:line="560" w:lineRule="exact"/>
        <w:textAlignment w:val="center"/>
        <w:rPr>
          <w:rFonts w:hint="eastAsia"/>
          <w:color w:val="auto"/>
          <w:u w:val="single"/>
        </w:rPr>
      </w:pPr>
      <w:r>
        <w:rPr>
          <w:rFonts w:hint="eastAsia"/>
          <w:color w:val="auto"/>
        </w:rPr>
        <w:t>法人代表：</w:t>
      </w:r>
      <w:r>
        <w:rPr>
          <w:rFonts w:hint="eastAsia"/>
          <w:color w:val="auto"/>
          <w:u w:val="single"/>
        </w:rPr>
        <w:t xml:space="preserve">              </w:t>
      </w:r>
    </w:p>
    <w:p w14:paraId="1ADD1ADA">
      <w:pPr>
        <w:keepNext w:val="0"/>
        <w:keepLines w:val="0"/>
        <w:pageBreakBefore w:val="0"/>
        <w:kinsoku/>
        <w:wordWrap/>
        <w:overflowPunct/>
        <w:topLinePunct w:val="0"/>
        <w:autoSpaceDE/>
        <w:autoSpaceDN/>
        <w:bidi w:val="0"/>
        <w:adjustRightInd/>
        <w:spacing w:line="560" w:lineRule="exact"/>
        <w:textAlignment w:val="center"/>
        <w:rPr>
          <w:rFonts w:hint="eastAsia"/>
          <w:color w:val="auto"/>
        </w:rPr>
      </w:pPr>
    </w:p>
    <w:p w14:paraId="18916DEC">
      <w:pPr>
        <w:keepNext w:val="0"/>
        <w:keepLines w:val="0"/>
        <w:pageBreakBefore w:val="0"/>
        <w:kinsoku/>
        <w:wordWrap/>
        <w:overflowPunct/>
        <w:topLinePunct w:val="0"/>
        <w:autoSpaceDE/>
        <w:autoSpaceDN/>
        <w:bidi w:val="0"/>
        <w:adjustRightInd/>
        <w:spacing w:line="560" w:lineRule="exact"/>
        <w:ind w:firstLine="632" w:firstLineChars="200"/>
        <w:textAlignment w:val="center"/>
        <w:rPr>
          <w:rFonts w:hint="eastAsia"/>
          <w:color w:val="auto"/>
        </w:rPr>
      </w:pPr>
      <w:r>
        <w:rPr>
          <w:rFonts w:hint="eastAsia"/>
          <w:color w:val="auto"/>
        </w:rPr>
        <w:t>为</w:t>
      </w:r>
      <w:r>
        <w:rPr>
          <w:rFonts w:hint="eastAsia"/>
          <w:color w:val="auto"/>
          <w:lang w:val="en-US" w:eastAsia="zh-CN"/>
        </w:rPr>
        <w:t>进一步加强港口作业的安全管理</w:t>
      </w:r>
      <w:r>
        <w:rPr>
          <w:rFonts w:hint="eastAsia"/>
          <w:color w:val="auto"/>
        </w:rPr>
        <w:t>，</w:t>
      </w:r>
      <w:r>
        <w:rPr>
          <w:rFonts w:hint="eastAsia"/>
          <w:color w:val="auto"/>
          <w:lang w:val="en-US" w:eastAsia="zh-CN"/>
        </w:rPr>
        <w:t>防止和减少生产安全事故</w:t>
      </w:r>
      <w:r>
        <w:rPr>
          <w:rFonts w:hint="eastAsia"/>
          <w:color w:val="auto"/>
        </w:rPr>
        <w:t>，保障双方人员</w:t>
      </w:r>
      <w:r>
        <w:rPr>
          <w:rFonts w:hint="eastAsia"/>
          <w:color w:val="auto"/>
          <w:lang w:val="en-US" w:eastAsia="zh-CN"/>
        </w:rPr>
        <w:t>生命和财产安全</w:t>
      </w:r>
      <w:r>
        <w:rPr>
          <w:rFonts w:hint="eastAsia"/>
          <w:color w:val="auto"/>
        </w:rPr>
        <w:t>，依据《中华人民共和国安全生产法》、</w:t>
      </w:r>
      <w:r>
        <w:rPr>
          <w:rFonts w:hint="eastAsia"/>
          <w:color w:val="auto"/>
          <w:lang w:eastAsia="zh-CN"/>
        </w:rPr>
        <w:t>《</w:t>
      </w:r>
      <w:r>
        <w:rPr>
          <w:rFonts w:hint="eastAsia"/>
          <w:color w:val="auto"/>
          <w:lang w:val="en-US" w:eastAsia="zh-CN"/>
        </w:rPr>
        <w:t>广东省安全生产条例</w:t>
      </w:r>
      <w:r>
        <w:rPr>
          <w:rFonts w:hint="eastAsia"/>
          <w:color w:val="auto"/>
          <w:lang w:eastAsia="zh-CN"/>
        </w:rPr>
        <w:t>》、</w:t>
      </w:r>
      <w:r>
        <w:rPr>
          <w:rFonts w:hint="eastAsia"/>
          <w:color w:val="auto"/>
        </w:rPr>
        <w:t>《广州市安全生产条例》等法律、法规</w:t>
      </w:r>
      <w:r>
        <w:rPr>
          <w:rFonts w:hint="eastAsia"/>
          <w:color w:val="auto"/>
          <w:lang w:val="en-US" w:eastAsia="zh-CN"/>
        </w:rPr>
        <w:t>和有关</w:t>
      </w:r>
      <w:r>
        <w:rPr>
          <w:rFonts w:hint="eastAsia"/>
          <w:color w:val="auto"/>
        </w:rPr>
        <w:t>规定，</w:t>
      </w:r>
      <w:r>
        <w:rPr>
          <w:rFonts w:hint="eastAsia"/>
          <w:color w:val="auto"/>
          <w:lang w:val="en-US" w:eastAsia="zh-CN"/>
        </w:rPr>
        <w:t>甲、乙</w:t>
      </w:r>
      <w:r>
        <w:rPr>
          <w:rFonts w:hint="eastAsia"/>
          <w:color w:val="auto"/>
        </w:rPr>
        <w:t>双方遵循公平、平等、自愿和诚实守信的原则，就</w:t>
      </w:r>
      <w:r>
        <w:rPr>
          <w:rFonts w:hint="eastAsia"/>
          <w:color w:val="auto"/>
          <w:lang w:val="en-US" w:eastAsia="zh-CN"/>
        </w:rPr>
        <w:t>港口</w:t>
      </w:r>
      <w:r>
        <w:rPr>
          <w:rFonts w:hint="eastAsia"/>
          <w:color w:val="auto"/>
        </w:rPr>
        <w:t>作业安全</w:t>
      </w:r>
      <w:r>
        <w:rPr>
          <w:rFonts w:hint="eastAsia"/>
          <w:color w:val="auto"/>
          <w:lang w:val="en-US" w:eastAsia="zh-CN"/>
        </w:rPr>
        <w:t>管理</w:t>
      </w:r>
      <w:r>
        <w:rPr>
          <w:rFonts w:hint="eastAsia"/>
          <w:color w:val="auto"/>
        </w:rPr>
        <w:t>事项协商一致</w:t>
      </w:r>
      <w:r>
        <w:rPr>
          <w:rFonts w:hint="eastAsia"/>
          <w:color w:val="auto"/>
          <w:lang w:eastAsia="zh-CN"/>
        </w:rPr>
        <w:t>，</w:t>
      </w:r>
      <w:r>
        <w:rPr>
          <w:rFonts w:hint="eastAsia"/>
          <w:color w:val="auto"/>
        </w:rPr>
        <w:t xml:space="preserve">签订本协议。 </w:t>
      </w:r>
    </w:p>
    <w:p w14:paraId="449184F5">
      <w:pPr>
        <w:keepNext w:val="0"/>
        <w:keepLines w:val="0"/>
        <w:pageBreakBefore w:val="0"/>
        <w:kinsoku/>
        <w:wordWrap/>
        <w:overflowPunct/>
        <w:topLinePunct w:val="0"/>
        <w:autoSpaceDE/>
        <w:autoSpaceDN/>
        <w:bidi w:val="0"/>
        <w:adjustRightInd/>
        <w:spacing w:line="560" w:lineRule="exact"/>
        <w:ind w:firstLine="632" w:firstLineChars="200"/>
        <w:textAlignment w:val="center"/>
        <w:rPr>
          <w:rFonts w:hint="eastAsia"/>
          <w:b/>
          <w:bCs/>
          <w:color w:val="auto"/>
        </w:rPr>
      </w:pPr>
      <w:r>
        <w:rPr>
          <w:rFonts w:hint="eastAsia"/>
          <w:b/>
          <w:bCs/>
          <w:color w:val="auto"/>
        </w:rPr>
        <w:t>一、</w:t>
      </w:r>
      <w:r>
        <w:rPr>
          <w:rFonts w:hint="eastAsia"/>
          <w:b/>
          <w:bCs/>
          <w:color w:val="auto"/>
          <w:lang w:val="en-US" w:eastAsia="zh-CN"/>
        </w:rPr>
        <w:t>港口作业</w:t>
      </w:r>
      <w:r>
        <w:rPr>
          <w:rFonts w:hint="eastAsia"/>
          <w:b/>
          <w:bCs/>
          <w:color w:val="auto"/>
        </w:rPr>
        <w:t>及内容</w:t>
      </w:r>
    </w:p>
    <w:p w14:paraId="2867C7ED">
      <w:pPr>
        <w:keepNext w:val="0"/>
        <w:keepLines w:val="0"/>
        <w:pageBreakBefore w:val="0"/>
        <w:kinsoku/>
        <w:wordWrap/>
        <w:overflowPunct/>
        <w:topLinePunct w:val="0"/>
        <w:autoSpaceDE/>
        <w:autoSpaceDN/>
        <w:bidi w:val="0"/>
        <w:adjustRightInd/>
        <w:spacing w:line="560" w:lineRule="exact"/>
        <w:ind w:firstLine="632" w:firstLineChars="200"/>
        <w:textAlignment w:val="center"/>
        <w:rPr>
          <w:rFonts w:hint="eastAsia"/>
          <w:color w:val="auto"/>
          <w:lang w:val="en-US" w:eastAsia="zh-CN"/>
        </w:rPr>
      </w:pPr>
      <w:r>
        <w:rPr>
          <w:rFonts w:hint="eastAsia"/>
          <w:color w:val="auto"/>
        </w:rPr>
        <w:t>本协议所</w:t>
      </w:r>
      <w:r>
        <w:rPr>
          <w:rFonts w:hint="eastAsia"/>
          <w:color w:val="auto"/>
          <w:lang w:val="en-US" w:eastAsia="zh-CN"/>
        </w:rPr>
        <w:t>述的港口作业</w:t>
      </w:r>
      <w:r>
        <w:rPr>
          <w:rFonts w:hint="eastAsia"/>
          <w:color w:val="auto"/>
        </w:rPr>
        <w:t>是指甲方对外发包的</w:t>
      </w:r>
      <w:r>
        <w:rPr>
          <w:rFonts w:hint="eastAsia"/>
          <w:color w:val="auto"/>
          <w:lang w:val="en-US" w:eastAsia="zh-CN"/>
        </w:rPr>
        <w:t>与港口生产经营有关的作业或辅助作业项目，包括包括现场生产作业、物流辅助作业、船舶服务作业、港区应急救援队伍服务等。</w:t>
      </w:r>
    </w:p>
    <w:p w14:paraId="3089400E">
      <w:pPr>
        <w:keepNext w:val="0"/>
        <w:keepLines w:val="0"/>
        <w:pageBreakBefore w:val="0"/>
        <w:kinsoku/>
        <w:wordWrap/>
        <w:overflowPunct/>
        <w:topLinePunct w:val="0"/>
        <w:autoSpaceDE/>
        <w:autoSpaceDN/>
        <w:bidi w:val="0"/>
        <w:adjustRightInd/>
        <w:snapToGrid w:val="0"/>
        <w:spacing w:line="560" w:lineRule="exact"/>
        <w:ind w:firstLine="632" w:firstLineChars="200"/>
        <w:textAlignment w:val="center"/>
        <w:rPr>
          <w:rFonts w:hint="default" w:ascii="仿宋_GB2312" w:hAnsi="仿宋_GB2312" w:eastAsia="仿宋_GB2312" w:cs="仿宋_GB2312"/>
          <w:color w:val="auto"/>
          <w:sz w:val="32"/>
          <w:szCs w:val="32"/>
          <w:u w:val="single"/>
        </w:rPr>
      </w:pPr>
      <w:r>
        <w:rPr>
          <w:rFonts w:hint="eastAsia" w:ascii="仿宋_GB2312" w:hAnsi="仿宋_GB2312" w:eastAsia="仿宋_GB2312" w:cs="仿宋_GB2312"/>
          <w:color w:val="auto"/>
          <w:sz w:val="32"/>
          <w:szCs w:val="32"/>
          <w:u w:val="none"/>
        </w:rPr>
        <w:t>具体业务：</w:t>
      </w:r>
      <w:r>
        <w:rPr>
          <w:rFonts w:hint="eastAsia" w:ascii="仿宋_GB2312" w:hAnsi="仿宋_GB2312" w:eastAsia="仿宋_GB2312" w:cs="仿宋_GB2312"/>
          <w:color w:val="auto"/>
          <w:sz w:val="32"/>
          <w:szCs w:val="32"/>
          <w:u w:val="single"/>
        </w:rPr>
        <w:t xml:space="preserve">                                  </w:t>
      </w:r>
      <w:r>
        <w:rPr>
          <w:rFonts w:hint="eastAsia" w:ascii="仿宋_GB2312" w:hAnsi="仿宋_GB2312" w:cs="仿宋_GB2312"/>
          <w:color w:val="auto"/>
          <w:sz w:val="32"/>
          <w:szCs w:val="32"/>
          <w:u w:val="single"/>
          <w:lang w:val="en-US" w:eastAsia="zh-CN"/>
        </w:rPr>
        <w:t xml:space="preserve">  </w:t>
      </w:r>
    </w:p>
    <w:p w14:paraId="20DD8028">
      <w:pPr>
        <w:keepNext w:val="0"/>
        <w:keepLines w:val="0"/>
        <w:pageBreakBefore w:val="0"/>
        <w:kinsoku/>
        <w:wordWrap/>
        <w:overflowPunct/>
        <w:topLinePunct w:val="0"/>
        <w:autoSpaceDE/>
        <w:autoSpaceDN/>
        <w:bidi w:val="0"/>
        <w:adjustRightInd/>
        <w:spacing w:line="560" w:lineRule="exact"/>
        <w:ind w:firstLine="632" w:firstLineChars="200"/>
        <w:textAlignment w:val="center"/>
        <w:rPr>
          <w:rFonts w:hint="eastAsia"/>
          <w:b/>
          <w:bCs/>
          <w:color w:val="auto"/>
        </w:rPr>
      </w:pPr>
      <w:r>
        <w:rPr>
          <w:rFonts w:hint="eastAsia"/>
          <w:b/>
          <w:bCs/>
          <w:color w:val="auto"/>
        </w:rPr>
        <w:t>二、甲方的职责、权利和义务</w:t>
      </w:r>
    </w:p>
    <w:p w14:paraId="445E520F">
      <w:pPr>
        <w:keepNext w:val="0"/>
        <w:keepLines w:val="0"/>
        <w:pageBreakBefore w:val="0"/>
        <w:kinsoku/>
        <w:wordWrap/>
        <w:overflowPunct/>
        <w:topLinePunct w:val="0"/>
        <w:autoSpaceDE/>
        <w:autoSpaceDN/>
        <w:bidi w:val="0"/>
        <w:adjustRightInd/>
        <w:spacing w:line="560" w:lineRule="exact"/>
        <w:ind w:firstLine="632" w:firstLineChars="200"/>
        <w:textAlignment w:val="center"/>
        <w:rPr>
          <w:rFonts w:hint="eastAsia"/>
          <w:color w:val="auto"/>
        </w:rPr>
      </w:pPr>
      <w:r>
        <w:rPr>
          <w:rFonts w:hint="eastAsia"/>
          <w:color w:val="auto"/>
          <w:lang w:val="en-US" w:eastAsia="zh-CN"/>
        </w:rPr>
        <w:t>1</w:t>
      </w:r>
      <w:r>
        <w:rPr>
          <w:rFonts w:hint="eastAsia"/>
          <w:color w:val="auto"/>
        </w:rPr>
        <w:t>.</w:t>
      </w:r>
      <w:r>
        <w:rPr>
          <w:rFonts w:hint="eastAsia"/>
          <w:color w:val="auto"/>
          <w:lang w:val="en-US" w:eastAsia="zh-CN"/>
        </w:rPr>
        <w:t>甲方应</w:t>
      </w:r>
      <w:r>
        <w:rPr>
          <w:rFonts w:hint="eastAsia"/>
          <w:color w:val="auto"/>
        </w:rPr>
        <w:t>严格审查乙方营业执照、资质等级、从业人员持证情况、设备设施</w:t>
      </w:r>
      <w:r>
        <w:rPr>
          <w:rFonts w:hint="eastAsia"/>
          <w:color w:val="auto"/>
          <w:lang w:val="en-US" w:eastAsia="zh-CN"/>
        </w:rPr>
        <w:t>检验合格证明</w:t>
      </w:r>
      <w:r>
        <w:rPr>
          <w:rFonts w:hint="eastAsia"/>
          <w:color w:val="auto"/>
        </w:rPr>
        <w:t>等，不得将</w:t>
      </w:r>
      <w:r>
        <w:rPr>
          <w:rFonts w:hint="eastAsia"/>
          <w:color w:val="auto"/>
          <w:lang w:val="en-US" w:eastAsia="zh-CN"/>
        </w:rPr>
        <w:t>港口作业业务</w:t>
      </w:r>
      <w:r>
        <w:rPr>
          <w:rFonts w:hint="eastAsia"/>
          <w:color w:val="auto"/>
        </w:rPr>
        <w:t>发包给不具备</w:t>
      </w:r>
      <w:r>
        <w:rPr>
          <w:rFonts w:hint="eastAsia"/>
          <w:color w:val="auto"/>
          <w:lang w:val="en-US" w:eastAsia="zh-CN"/>
        </w:rPr>
        <w:t>安全生产条件或者相应资质</w:t>
      </w:r>
      <w:r>
        <w:rPr>
          <w:rFonts w:hint="eastAsia"/>
          <w:color w:val="auto"/>
        </w:rPr>
        <w:t>的单位。</w:t>
      </w:r>
    </w:p>
    <w:p w14:paraId="6194B110">
      <w:pPr>
        <w:keepNext w:val="0"/>
        <w:keepLines w:val="0"/>
        <w:pageBreakBefore w:val="0"/>
        <w:kinsoku/>
        <w:wordWrap/>
        <w:overflowPunct/>
        <w:topLinePunct w:val="0"/>
        <w:autoSpaceDE/>
        <w:autoSpaceDN/>
        <w:bidi w:val="0"/>
        <w:adjustRightInd/>
        <w:spacing w:line="560" w:lineRule="exact"/>
        <w:ind w:firstLine="632" w:firstLineChars="200"/>
        <w:textAlignment w:val="center"/>
        <w:rPr>
          <w:rFonts w:hint="eastAsia"/>
          <w:color w:val="auto"/>
        </w:rPr>
      </w:pPr>
      <w:r>
        <w:rPr>
          <w:rFonts w:hint="eastAsia"/>
          <w:color w:val="auto"/>
        </w:rPr>
        <w:t>2.甲方应向乙方明确</w:t>
      </w:r>
      <w:r>
        <w:rPr>
          <w:rFonts w:hint="eastAsia"/>
          <w:color w:val="auto"/>
          <w:lang w:val="en-US" w:eastAsia="zh-CN"/>
        </w:rPr>
        <w:t>港口作业有</w:t>
      </w:r>
      <w:r>
        <w:rPr>
          <w:rFonts w:hint="eastAsia"/>
          <w:color w:val="auto"/>
        </w:rPr>
        <w:t>关安全管理要求，告知作业特点、作业场所存在的危险因素</w:t>
      </w:r>
      <w:r>
        <w:rPr>
          <w:rFonts w:hint="eastAsia"/>
          <w:color w:val="auto"/>
          <w:lang w:val="en-US" w:eastAsia="zh-CN"/>
        </w:rPr>
        <w:t>等</w:t>
      </w:r>
      <w:r>
        <w:rPr>
          <w:rFonts w:hint="eastAsia"/>
          <w:color w:val="auto"/>
        </w:rPr>
        <w:t>。</w:t>
      </w:r>
    </w:p>
    <w:p w14:paraId="5C4695FA">
      <w:pPr>
        <w:keepNext w:val="0"/>
        <w:keepLines w:val="0"/>
        <w:pageBreakBefore w:val="0"/>
        <w:kinsoku/>
        <w:wordWrap/>
        <w:overflowPunct/>
        <w:topLinePunct w:val="0"/>
        <w:autoSpaceDE/>
        <w:autoSpaceDN/>
        <w:bidi w:val="0"/>
        <w:adjustRightInd/>
        <w:spacing w:line="560" w:lineRule="exact"/>
        <w:ind w:firstLine="632" w:firstLineChars="200"/>
        <w:textAlignment w:val="center"/>
        <w:rPr>
          <w:rFonts w:hint="eastAsia"/>
          <w:color w:val="auto"/>
          <w:lang w:val="en-US"/>
        </w:rPr>
      </w:pPr>
      <w:r>
        <w:rPr>
          <w:rFonts w:hint="eastAsia"/>
          <w:color w:val="auto"/>
          <w:lang w:val="en-US" w:eastAsia="zh-CN"/>
        </w:rPr>
        <w:t>3</w:t>
      </w:r>
      <w:r>
        <w:rPr>
          <w:rFonts w:hint="eastAsia"/>
          <w:color w:val="auto"/>
          <w:lang w:val="en-US"/>
        </w:rPr>
        <w:t>.甲方有权对</w:t>
      </w:r>
      <w:r>
        <w:rPr>
          <w:rFonts w:hint="eastAsia"/>
          <w:color w:val="auto"/>
          <w:lang w:val="en-US" w:eastAsia="zh-CN"/>
        </w:rPr>
        <w:t>乙方港口作业人员</w:t>
      </w:r>
      <w:r>
        <w:rPr>
          <w:rFonts w:hint="eastAsia"/>
          <w:color w:val="auto"/>
          <w:lang w:val="en-US"/>
        </w:rPr>
        <w:t>进行</w:t>
      </w:r>
      <w:r>
        <w:rPr>
          <w:rFonts w:hint="eastAsia"/>
          <w:color w:val="auto"/>
          <w:lang w:val="en-US" w:eastAsia="zh-CN"/>
        </w:rPr>
        <w:t>入场（上岗）前</w:t>
      </w:r>
      <w:r>
        <w:rPr>
          <w:rFonts w:hint="eastAsia"/>
          <w:color w:val="auto"/>
          <w:lang w:val="en-US"/>
        </w:rPr>
        <w:t>安全</w:t>
      </w:r>
      <w:r>
        <w:rPr>
          <w:rFonts w:hint="eastAsia"/>
          <w:color w:val="auto"/>
          <w:lang w:val="en-US" w:eastAsia="zh-CN"/>
        </w:rPr>
        <w:t>教育培训。</w:t>
      </w:r>
    </w:p>
    <w:p w14:paraId="4A234FFB">
      <w:pPr>
        <w:keepNext w:val="0"/>
        <w:keepLines w:val="0"/>
        <w:pageBreakBefore w:val="0"/>
        <w:kinsoku/>
        <w:wordWrap/>
        <w:overflowPunct/>
        <w:topLinePunct w:val="0"/>
        <w:autoSpaceDE/>
        <w:autoSpaceDN/>
        <w:bidi w:val="0"/>
        <w:adjustRightInd/>
        <w:spacing w:line="560" w:lineRule="exact"/>
        <w:ind w:firstLine="632" w:firstLineChars="200"/>
        <w:textAlignment w:val="center"/>
        <w:rPr>
          <w:rFonts w:hint="eastAsia"/>
          <w:color w:val="auto"/>
        </w:rPr>
      </w:pPr>
      <w:r>
        <w:rPr>
          <w:rFonts w:hint="eastAsia"/>
          <w:color w:val="auto"/>
          <w:lang w:val="en-US" w:eastAsia="zh-CN"/>
        </w:rPr>
        <w:t>4</w:t>
      </w:r>
      <w:r>
        <w:rPr>
          <w:rFonts w:hint="eastAsia"/>
          <w:color w:val="auto"/>
        </w:rPr>
        <w:t>.甲方有权对</w:t>
      </w:r>
      <w:r>
        <w:rPr>
          <w:rFonts w:hint="eastAsia"/>
          <w:color w:val="auto"/>
          <w:lang w:val="en-US" w:eastAsia="zh-CN"/>
        </w:rPr>
        <w:t>业务发包</w:t>
      </w:r>
      <w:r>
        <w:rPr>
          <w:rFonts w:hint="eastAsia"/>
          <w:color w:val="auto"/>
        </w:rPr>
        <w:t>范围内乙方的</w:t>
      </w:r>
      <w:r>
        <w:rPr>
          <w:rFonts w:hint="eastAsia"/>
          <w:color w:val="auto"/>
          <w:lang w:val="en-US" w:eastAsia="zh-CN"/>
        </w:rPr>
        <w:t>安全生产</w:t>
      </w:r>
      <w:r>
        <w:rPr>
          <w:rFonts w:hint="eastAsia"/>
          <w:color w:val="auto"/>
        </w:rPr>
        <w:t>活动、安全管理制度及安全防范措施的落实</w:t>
      </w:r>
      <w:r>
        <w:rPr>
          <w:rFonts w:hint="eastAsia"/>
          <w:color w:val="auto"/>
          <w:lang w:val="en-US" w:eastAsia="zh-CN"/>
        </w:rPr>
        <w:t>情况</w:t>
      </w:r>
      <w:r>
        <w:rPr>
          <w:rFonts w:hint="eastAsia"/>
          <w:color w:val="auto"/>
        </w:rPr>
        <w:t>进行监督检查。</w:t>
      </w:r>
    </w:p>
    <w:p w14:paraId="697CD5DB">
      <w:pPr>
        <w:keepNext w:val="0"/>
        <w:keepLines w:val="0"/>
        <w:pageBreakBefore w:val="0"/>
        <w:kinsoku/>
        <w:wordWrap/>
        <w:overflowPunct/>
        <w:topLinePunct w:val="0"/>
        <w:autoSpaceDE/>
        <w:autoSpaceDN/>
        <w:bidi w:val="0"/>
        <w:adjustRightInd/>
        <w:spacing w:line="560" w:lineRule="exact"/>
        <w:ind w:firstLine="632" w:firstLineChars="200"/>
        <w:textAlignment w:val="center"/>
        <w:rPr>
          <w:rFonts w:hint="eastAsia"/>
          <w:color w:val="auto"/>
        </w:rPr>
      </w:pPr>
      <w:r>
        <w:rPr>
          <w:rFonts w:hint="eastAsia"/>
          <w:color w:val="auto"/>
          <w:lang w:val="en-US" w:eastAsia="zh-CN"/>
        </w:rPr>
        <w:t>5</w:t>
      </w:r>
      <w:r>
        <w:rPr>
          <w:rFonts w:hint="eastAsia"/>
          <w:color w:val="auto"/>
        </w:rPr>
        <w:t>.甲方</w:t>
      </w:r>
      <w:r>
        <w:rPr>
          <w:rFonts w:hint="eastAsia"/>
          <w:color w:val="auto"/>
          <w:lang w:val="en-US" w:eastAsia="zh-CN"/>
        </w:rPr>
        <w:t>监督</w:t>
      </w:r>
      <w:r>
        <w:rPr>
          <w:rFonts w:hint="eastAsia"/>
          <w:color w:val="auto"/>
        </w:rPr>
        <w:t>检查发现乙方在</w:t>
      </w:r>
      <w:r>
        <w:rPr>
          <w:rFonts w:hint="eastAsia"/>
          <w:color w:val="auto"/>
          <w:lang w:val="en-US" w:eastAsia="zh-CN"/>
        </w:rPr>
        <w:t>港口作业</w:t>
      </w:r>
      <w:r>
        <w:rPr>
          <w:rFonts w:hint="eastAsia"/>
          <w:color w:val="auto"/>
        </w:rPr>
        <w:t>过程中</w:t>
      </w:r>
      <w:r>
        <w:rPr>
          <w:rFonts w:hint="eastAsia"/>
          <w:color w:val="auto"/>
          <w:lang w:val="en-US" w:eastAsia="zh-CN"/>
        </w:rPr>
        <w:t>存在安全问题和事故</w:t>
      </w:r>
      <w:r>
        <w:rPr>
          <w:rFonts w:hint="eastAsia"/>
          <w:color w:val="auto"/>
        </w:rPr>
        <w:t>隐患</w:t>
      </w:r>
      <w:r>
        <w:rPr>
          <w:rFonts w:hint="eastAsia"/>
          <w:color w:val="auto"/>
          <w:lang w:val="en-US" w:eastAsia="zh-CN"/>
        </w:rPr>
        <w:t>的</w:t>
      </w:r>
      <w:r>
        <w:rPr>
          <w:rFonts w:hint="eastAsia"/>
          <w:color w:val="auto"/>
        </w:rPr>
        <w:t>，可向乙方发</w:t>
      </w:r>
      <w:r>
        <w:rPr>
          <w:rFonts w:hint="eastAsia"/>
          <w:color w:val="auto"/>
          <w:lang w:val="en-US" w:eastAsia="zh-CN"/>
        </w:rPr>
        <w:t>出</w:t>
      </w:r>
      <w:r>
        <w:rPr>
          <w:rFonts w:hint="eastAsia"/>
          <w:color w:val="auto"/>
        </w:rPr>
        <w:t>整改通知，乙方拒不整改</w:t>
      </w:r>
      <w:r>
        <w:rPr>
          <w:rFonts w:hint="eastAsia"/>
          <w:color w:val="auto"/>
          <w:lang w:val="en-US" w:eastAsia="zh-CN"/>
        </w:rPr>
        <w:t>或未在规定期限内完成整改的</w:t>
      </w:r>
      <w:r>
        <w:rPr>
          <w:rFonts w:hint="eastAsia"/>
          <w:color w:val="auto"/>
        </w:rPr>
        <w:t>，甲方有权终止发包业务。</w:t>
      </w:r>
    </w:p>
    <w:p w14:paraId="3C81872E">
      <w:pPr>
        <w:keepNext w:val="0"/>
        <w:keepLines w:val="0"/>
        <w:pageBreakBefore w:val="0"/>
        <w:kinsoku/>
        <w:wordWrap/>
        <w:overflowPunct/>
        <w:topLinePunct w:val="0"/>
        <w:autoSpaceDE/>
        <w:autoSpaceDN/>
        <w:bidi w:val="0"/>
        <w:adjustRightInd/>
        <w:spacing w:line="560" w:lineRule="exact"/>
        <w:ind w:firstLine="632" w:firstLineChars="200"/>
        <w:textAlignment w:val="center"/>
        <w:rPr>
          <w:rFonts w:hint="eastAsia"/>
          <w:color w:val="auto"/>
          <w:lang w:val="en-US" w:eastAsia="zh-CN"/>
        </w:rPr>
      </w:pPr>
      <w:r>
        <w:rPr>
          <w:rFonts w:hint="eastAsia"/>
          <w:color w:val="auto"/>
          <w:lang w:val="en-US" w:eastAsia="zh-CN"/>
        </w:rPr>
        <w:t>6.甲方监督检查发现乙方人员在港口作业过程中存在危及安全生产的行为的，有权立即制止，并可按甲方有关规定追究乙方责任。</w:t>
      </w:r>
    </w:p>
    <w:p w14:paraId="75B606AC">
      <w:pPr>
        <w:keepNext w:val="0"/>
        <w:keepLines w:val="0"/>
        <w:pageBreakBefore w:val="0"/>
        <w:kinsoku/>
        <w:wordWrap/>
        <w:overflowPunct/>
        <w:topLinePunct w:val="0"/>
        <w:autoSpaceDE/>
        <w:autoSpaceDN/>
        <w:bidi w:val="0"/>
        <w:adjustRightInd/>
        <w:spacing w:line="560" w:lineRule="exact"/>
        <w:ind w:firstLine="632" w:firstLineChars="200"/>
        <w:textAlignment w:val="center"/>
        <w:rPr>
          <w:rFonts w:hint="eastAsia"/>
          <w:color w:val="auto"/>
        </w:rPr>
      </w:pPr>
      <w:r>
        <w:rPr>
          <w:rFonts w:hint="eastAsia"/>
          <w:color w:val="auto"/>
          <w:lang w:val="en-US" w:eastAsia="zh-CN"/>
        </w:rPr>
        <w:t>7</w:t>
      </w:r>
      <w:r>
        <w:rPr>
          <w:rFonts w:hint="eastAsia"/>
          <w:color w:val="auto"/>
        </w:rPr>
        <w:t>.甲乙双方</w:t>
      </w:r>
      <w:r>
        <w:rPr>
          <w:rFonts w:hint="eastAsia"/>
          <w:color w:val="auto"/>
          <w:lang w:val="en-US" w:eastAsia="zh-CN"/>
        </w:rPr>
        <w:t>存在</w:t>
      </w:r>
      <w:r>
        <w:rPr>
          <w:rFonts w:hint="eastAsia"/>
          <w:color w:val="auto"/>
        </w:rPr>
        <w:t>交叉作业</w:t>
      </w:r>
      <w:r>
        <w:rPr>
          <w:rFonts w:hint="eastAsia"/>
          <w:color w:val="auto"/>
          <w:lang w:val="en-US" w:eastAsia="zh-CN"/>
        </w:rPr>
        <w:t>时</w:t>
      </w:r>
      <w:r>
        <w:rPr>
          <w:rFonts w:hint="eastAsia"/>
          <w:color w:val="auto"/>
        </w:rPr>
        <w:t>，甲方</w:t>
      </w:r>
      <w:r>
        <w:rPr>
          <w:rFonts w:hint="eastAsia"/>
          <w:color w:val="auto"/>
          <w:lang w:val="en-US" w:eastAsia="zh-CN"/>
        </w:rPr>
        <w:t>有权对相关作业进行</w:t>
      </w:r>
      <w:r>
        <w:rPr>
          <w:rFonts w:hint="eastAsia"/>
          <w:color w:val="auto"/>
        </w:rPr>
        <w:t>统一协调</w:t>
      </w:r>
      <w:r>
        <w:rPr>
          <w:rFonts w:hint="eastAsia"/>
          <w:color w:val="auto"/>
          <w:lang w:eastAsia="zh-CN"/>
        </w:rPr>
        <w:t>、</w:t>
      </w:r>
      <w:r>
        <w:rPr>
          <w:rFonts w:hint="eastAsia"/>
          <w:color w:val="auto"/>
        </w:rPr>
        <w:t>管理，与乙方人员共同配合</w:t>
      </w:r>
      <w:r>
        <w:rPr>
          <w:rFonts w:hint="eastAsia"/>
          <w:color w:val="auto"/>
          <w:lang w:val="en-US" w:eastAsia="zh-CN"/>
        </w:rPr>
        <w:t>保障</w:t>
      </w:r>
      <w:r>
        <w:rPr>
          <w:rFonts w:hint="eastAsia"/>
          <w:color w:val="auto"/>
        </w:rPr>
        <w:t>安全生产。</w:t>
      </w:r>
    </w:p>
    <w:p w14:paraId="14E441A1">
      <w:pPr>
        <w:keepNext w:val="0"/>
        <w:keepLines w:val="0"/>
        <w:pageBreakBefore w:val="0"/>
        <w:kinsoku/>
        <w:wordWrap/>
        <w:overflowPunct/>
        <w:topLinePunct w:val="0"/>
        <w:autoSpaceDE/>
        <w:autoSpaceDN/>
        <w:bidi w:val="0"/>
        <w:adjustRightInd/>
        <w:spacing w:line="560" w:lineRule="exact"/>
        <w:ind w:firstLine="632" w:firstLineChars="200"/>
        <w:textAlignment w:val="center"/>
        <w:rPr>
          <w:rFonts w:hint="eastAsia"/>
          <w:color w:val="auto"/>
        </w:rPr>
      </w:pPr>
      <w:r>
        <w:rPr>
          <w:rFonts w:hint="eastAsia"/>
          <w:color w:val="auto"/>
          <w:lang w:val="en-US" w:eastAsia="zh-CN"/>
        </w:rPr>
        <w:t>8</w:t>
      </w:r>
      <w:r>
        <w:rPr>
          <w:rFonts w:hint="eastAsia"/>
          <w:color w:val="auto"/>
        </w:rPr>
        <w:t>.甲方</w:t>
      </w:r>
      <w:r>
        <w:rPr>
          <w:rFonts w:hint="eastAsia"/>
          <w:color w:val="auto"/>
          <w:lang w:val="en-US" w:eastAsia="zh-CN"/>
        </w:rPr>
        <w:t>在确认符合安全的条件下，为</w:t>
      </w:r>
      <w:r>
        <w:rPr>
          <w:rFonts w:hint="eastAsia"/>
          <w:color w:val="auto"/>
        </w:rPr>
        <w:t>乙方</w:t>
      </w:r>
      <w:r>
        <w:rPr>
          <w:rFonts w:hint="eastAsia"/>
          <w:color w:val="auto"/>
          <w:lang w:val="en-US" w:eastAsia="zh-CN"/>
        </w:rPr>
        <w:t>作业</w:t>
      </w:r>
      <w:r>
        <w:rPr>
          <w:rFonts w:hint="eastAsia"/>
          <w:color w:val="auto"/>
        </w:rPr>
        <w:t>人员、车辆、机械、设备设施进出港区及用水、用电等提供便利。</w:t>
      </w:r>
    </w:p>
    <w:p w14:paraId="5A3BFC91">
      <w:pPr>
        <w:keepNext w:val="0"/>
        <w:keepLines w:val="0"/>
        <w:pageBreakBefore w:val="0"/>
        <w:kinsoku/>
        <w:wordWrap/>
        <w:overflowPunct/>
        <w:topLinePunct w:val="0"/>
        <w:autoSpaceDE/>
        <w:autoSpaceDN/>
        <w:bidi w:val="0"/>
        <w:adjustRightInd/>
        <w:spacing w:line="560" w:lineRule="exact"/>
        <w:ind w:firstLine="632" w:firstLineChars="200"/>
        <w:textAlignment w:val="center"/>
        <w:rPr>
          <w:rFonts w:hint="eastAsia"/>
          <w:b/>
          <w:bCs/>
          <w:color w:val="auto"/>
        </w:rPr>
      </w:pPr>
      <w:r>
        <w:rPr>
          <w:rFonts w:hint="eastAsia"/>
          <w:b/>
          <w:bCs/>
          <w:color w:val="auto"/>
        </w:rPr>
        <w:t>三、乙方职责、权利和义务</w:t>
      </w:r>
    </w:p>
    <w:p w14:paraId="45B84071">
      <w:pPr>
        <w:keepNext w:val="0"/>
        <w:keepLines w:val="0"/>
        <w:pageBreakBefore w:val="0"/>
        <w:kinsoku/>
        <w:wordWrap/>
        <w:overflowPunct/>
        <w:topLinePunct w:val="0"/>
        <w:autoSpaceDE/>
        <w:autoSpaceDN/>
        <w:bidi w:val="0"/>
        <w:adjustRightInd/>
        <w:spacing w:line="560" w:lineRule="exact"/>
        <w:ind w:firstLine="632" w:firstLineChars="200"/>
        <w:textAlignment w:val="center"/>
        <w:rPr>
          <w:rFonts w:hint="eastAsia"/>
          <w:color w:val="auto"/>
        </w:rPr>
      </w:pPr>
      <w:r>
        <w:rPr>
          <w:rFonts w:hint="eastAsia"/>
          <w:color w:val="auto"/>
        </w:rPr>
        <w:t>1.</w:t>
      </w:r>
      <w:r>
        <w:rPr>
          <w:rFonts w:hint="eastAsia"/>
          <w:color w:val="auto"/>
          <w:lang w:val="en-US" w:eastAsia="zh-CN"/>
        </w:rPr>
        <w:t>乙方应</w:t>
      </w:r>
      <w:r>
        <w:rPr>
          <w:rFonts w:hint="eastAsia"/>
          <w:color w:val="auto"/>
        </w:rPr>
        <w:t>贯彻执行国家</w:t>
      </w:r>
      <w:r>
        <w:rPr>
          <w:rFonts w:hint="eastAsia"/>
          <w:color w:val="auto"/>
          <w:lang w:eastAsia="zh-CN"/>
        </w:rPr>
        <w:t>、</w:t>
      </w:r>
      <w:r>
        <w:rPr>
          <w:rFonts w:hint="eastAsia"/>
          <w:color w:val="auto"/>
          <w:lang w:val="en-US" w:eastAsia="zh-CN"/>
        </w:rPr>
        <w:t>省、市</w:t>
      </w:r>
      <w:r>
        <w:rPr>
          <w:rFonts w:hint="eastAsia"/>
          <w:color w:val="auto"/>
        </w:rPr>
        <w:t>有关安全生产</w:t>
      </w:r>
      <w:r>
        <w:rPr>
          <w:rFonts w:hint="eastAsia"/>
          <w:color w:val="auto"/>
          <w:lang w:eastAsia="zh-CN"/>
        </w:rPr>
        <w:t>、</w:t>
      </w:r>
      <w:r>
        <w:rPr>
          <w:rFonts w:hint="eastAsia"/>
          <w:color w:val="auto"/>
          <w:lang w:val="en-US" w:eastAsia="zh-CN"/>
        </w:rPr>
        <w:t>消防</w:t>
      </w:r>
      <w:r>
        <w:rPr>
          <w:rFonts w:hint="eastAsia"/>
          <w:color w:val="auto"/>
        </w:rPr>
        <w:t>的法律法规</w:t>
      </w:r>
      <w:r>
        <w:rPr>
          <w:rFonts w:hint="eastAsia"/>
          <w:color w:val="auto"/>
          <w:lang w:eastAsia="zh-CN"/>
        </w:rPr>
        <w:t>、</w:t>
      </w:r>
      <w:r>
        <w:rPr>
          <w:rFonts w:hint="eastAsia"/>
          <w:color w:val="auto"/>
          <w:lang w:val="en-US" w:eastAsia="zh-CN"/>
        </w:rPr>
        <w:t>部门规章、标准规范</w:t>
      </w:r>
      <w:r>
        <w:rPr>
          <w:rFonts w:hint="eastAsia"/>
          <w:color w:val="auto"/>
        </w:rPr>
        <w:t>，</w:t>
      </w:r>
      <w:r>
        <w:rPr>
          <w:rFonts w:hint="eastAsia"/>
          <w:color w:val="auto"/>
          <w:lang w:val="en-US" w:eastAsia="zh-CN"/>
        </w:rPr>
        <w:t>依法加强港口作业安全管理，采取有效措施，防止伤亡和其他生产安全事故的发生。</w:t>
      </w:r>
    </w:p>
    <w:p w14:paraId="3186740A">
      <w:pPr>
        <w:keepNext w:val="0"/>
        <w:keepLines w:val="0"/>
        <w:pageBreakBefore w:val="0"/>
        <w:kinsoku/>
        <w:wordWrap/>
        <w:overflowPunct/>
        <w:topLinePunct w:val="0"/>
        <w:autoSpaceDE/>
        <w:autoSpaceDN/>
        <w:bidi w:val="0"/>
        <w:adjustRightInd/>
        <w:spacing w:line="560" w:lineRule="exact"/>
        <w:ind w:firstLine="632" w:firstLineChars="200"/>
        <w:textAlignment w:val="center"/>
        <w:rPr>
          <w:rFonts w:hint="eastAsia"/>
          <w:color w:val="auto"/>
          <w:lang w:val="en-US" w:eastAsia="zh-CN"/>
        </w:rPr>
      </w:pPr>
      <w:r>
        <w:rPr>
          <w:rFonts w:hint="eastAsia"/>
          <w:color w:val="auto"/>
        </w:rPr>
        <w:t>2.乙方</w:t>
      </w:r>
      <w:r>
        <w:rPr>
          <w:rFonts w:hint="eastAsia"/>
          <w:color w:val="auto"/>
          <w:lang w:val="en-US" w:eastAsia="zh-CN"/>
        </w:rPr>
        <w:t>应当具备国家规定的注册资本、专业技术人员、技术装备和安全生产条件等，依法取得相应等级的资质证书，并在资质等级许可的范围内承揽港口作业项目，不得将承揽的港口作业项目再次转包。</w:t>
      </w:r>
    </w:p>
    <w:p w14:paraId="2814B1F7">
      <w:pPr>
        <w:keepNext w:val="0"/>
        <w:keepLines w:val="0"/>
        <w:pageBreakBefore w:val="0"/>
        <w:kinsoku/>
        <w:wordWrap/>
        <w:overflowPunct/>
        <w:topLinePunct w:val="0"/>
        <w:autoSpaceDE/>
        <w:autoSpaceDN/>
        <w:bidi w:val="0"/>
        <w:adjustRightInd/>
        <w:spacing w:line="560" w:lineRule="exact"/>
        <w:ind w:firstLine="632" w:firstLineChars="200"/>
        <w:textAlignment w:val="center"/>
        <w:rPr>
          <w:rFonts w:hint="default"/>
          <w:color w:val="auto"/>
          <w:lang w:val="en-US" w:eastAsia="zh-CN"/>
        </w:rPr>
      </w:pPr>
      <w:r>
        <w:rPr>
          <w:rFonts w:hint="eastAsia"/>
          <w:color w:val="auto"/>
          <w:lang w:val="en-US" w:eastAsia="zh-CN"/>
        </w:rPr>
        <w:t>3.乙方应按照甲方要求提供相关审查资料，并对提供的所有资料的准确性、真实性负责。乙方应服从甲方对其安全生产工作的统一协调、管理。</w:t>
      </w:r>
    </w:p>
    <w:p w14:paraId="0CE6484F">
      <w:pPr>
        <w:keepNext w:val="0"/>
        <w:keepLines w:val="0"/>
        <w:pageBreakBefore w:val="0"/>
        <w:kinsoku/>
        <w:wordWrap/>
        <w:overflowPunct/>
        <w:topLinePunct w:val="0"/>
        <w:autoSpaceDE/>
        <w:autoSpaceDN/>
        <w:bidi w:val="0"/>
        <w:adjustRightInd/>
        <w:spacing w:line="560" w:lineRule="exact"/>
        <w:ind w:firstLine="632" w:firstLineChars="200"/>
        <w:textAlignment w:val="center"/>
        <w:rPr>
          <w:rFonts w:hint="eastAsia"/>
          <w:color w:val="auto"/>
          <w:lang w:val="en-US" w:eastAsia="zh-CN"/>
        </w:rPr>
      </w:pPr>
      <w:r>
        <w:rPr>
          <w:rFonts w:hint="eastAsia"/>
          <w:color w:val="auto"/>
          <w:lang w:val="en-US" w:eastAsia="zh-CN"/>
        </w:rPr>
        <w:t>4.乙方是港口作业现场安全责任的主体，对作业现场安全工作全面负责，乙方应建立健全港口作业安全、消防管理相关规章制度和操作规程，定期进行安全检查，排除事故隐患，并做好台账记录。对于甲方检查发现的问题和隐患，要按照整改要求和整改期限，落实整改，闭环管理。</w:t>
      </w:r>
    </w:p>
    <w:p w14:paraId="2E4FFBF2">
      <w:pPr>
        <w:keepNext w:val="0"/>
        <w:keepLines w:val="0"/>
        <w:pageBreakBefore w:val="0"/>
        <w:kinsoku/>
        <w:wordWrap/>
        <w:overflowPunct/>
        <w:topLinePunct w:val="0"/>
        <w:autoSpaceDE/>
        <w:autoSpaceDN/>
        <w:bidi w:val="0"/>
        <w:adjustRightInd/>
        <w:spacing w:line="560" w:lineRule="exact"/>
        <w:ind w:firstLine="632" w:firstLineChars="200"/>
        <w:textAlignment w:val="center"/>
        <w:rPr>
          <w:rFonts w:hint="eastAsia"/>
          <w:color w:val="auto"/>
          <w:lang w:val="en-US" w:eastAsia="zh-CN"/>
        </w:rPr>
      </w:pPr>
      <w:r>
        <w:rPr>
          <w:rFonts w:hint="eastAsia"/>
          <w:color w:val="auto"/>
          <w:lang w:val="en-US" w:eastAsia="zh-CN"/>
        </w:rPr>
        <w:t>5.乙方应对港口作业安全管理人员和作业人员进行安全教育培训和考核，乙方作业人员进入新岗位或者新的作业现场前，应当接受安全教育培训，乙方采用新技术、新工艺、新设备、新材料时，应对作业人员进行相应的安全教育培训，未经教育培训或教育培训考核不合格的人员，不得上岗作业。乙方应建立特种作业、特种设备作业、机械设备操作等人员持证台账，确保相关人员持证上岗且证件处于有效期内。</w:t>
      </w:r>
    </w:p>
    <w:p w14:paraId="1B423F1B">
      <w:pPr>
        <w:keepNext w:val="0"/>
        <w:keepLines w:val="0"/>
        <w:pageBreakBefore w:val="0"/>
        <w:kinsoku/>
        <w:wordWrap/>
        <w:overflowPunct/>
        <w:topLinePunct w:val="0"/>
        <w:autoSpaceDE/>
        <w:autoSpaceDN/>
        <w:bidi w:val="0"/>
        <w:adjustRightInd/>
        <w:spacing w:line="560" w:lineRule="exact"/>
        <w:ind w:firstLine="632" w:firstLineChars="200"/>
        <w:textAlignment w:val="center"/>
        <w:rPr>
          <w:rFonts w:hint="eastAsia"/>
          <w:color w:val="auto"/>
          <w:lang w:val="en-US" w:eastAsia="zh-CN"/>
        </w:rPr>
      </w:pPr>
      <w:r>
        <w:rPr>
          <w:rFonts w:hint="eastAsia"/>
          <w:color w:val="auto"/>
          <w:lang w:val="en-US" w:eastAsia="zh-CN"/>
        </w:rPr>
        <w:t>6.乙方在港口作业现场应按要求委派具有相应安全资质和工作经验的人员专门负责作业安全监管，当乙方作业影响甲方生产作业时，乙方要服从甲方的统一指挥；当需要甲方停止作业配合时，乙方应主动提出不得强行冒险作业。</w:t>
      </w:r>
    </w:p>
    <w:p w14:paraId="7ACE9845">
      <w:pPr>
        <w:keepNext w:val="0"/>
        <w:keepLines w:val="0"/>
        <w:pageBreakBefore w:val="0"/>
        <w:kinsoku/>
        <w:wordWrap/>
        <w:overflowPunct/>
        <w:topLinePunct w:val="0"/>
        <w:autoSpaceDE/>
        <w:autoSpaceDN/>
        <w:bidi w:val="0"/>
        <w:adjustRightInd/>
        <w:spacing w:line="560" w:lineRule="exact"/>
        <w:ind w:firstLine="632" w:firstLineChars="200"/>
        <w:textAlignment w:val="center"/>
        <w:rPr>
          <w:rFonts w:hint="default"/>
          <w:color w:val="auto"/>
          <w:lang w:val="en-US" w:eastAsia="zh-CN"/>
        </w:rPr>
      </w:pPr>
      <w:r>
        <w:rPr>
          <w:rFonts w:hint="eastAsia"/>
          <w:color w:val="auto"/>
          <w:lang w:val="en-US" w:eastAsia="zh-CN"/>
        </w:rPr>
        <w:t>7.乙方在作业过程中存在动火、有限空间等危险作业的，应严格按照甲方规定办理危险作业审批，严格落实相应安全防范措施，确保作业安全。</w:t>
      </w:r>
    </w:p>
    <w:p w14:paraId="09558A51">
      <w:pPr>
        <w:keepNext w:val="0"/>
        <w:keepLines w:val="0"/>
        <w:pageBreakBefore w:val="0"/>
        <w:kinsoku/>
        <w:wordWrap/>
        <w:overflowPunct/>
        <w:topLinePunct w:val="0"/>
        <w:autoSpaceDE/>
        <w:autoSpaceDN/>
        <w:bidi w:val="0"/>
        <w:adjustRightInd/>
        <w:spacing w:line="560" w:lineRule="exact"/>
        <w:ind w:firstLine="632" w:firstLineChars="200"/>
        <w:textAlignment w:val="center"/>
        <w:rPr>
          <w:rFonts w:hint="eastAsia"/>
          <w:color w:val="auto"/>
          <w:lang w:val="en-US" w:eastAsia="zh-CN"/>
        </w:rPr>
      </w:pPr>
      <w:r>
        <w:rPr>
          <w:rFonts w:hint="eastAsia"/>
          <w:color w:val="auto"/>
          <w:lang w:val="en-US" w:eastAsia="zh-CN"/>
        </w:rPr>
        <w:t>8.乙方在作业过程中发现危及人身安全的紧急情况时，有权立即停止作业或者采取必要的应急措施后撤离危险区域。</w:t>
      </w:r>
    </w:p>
    <w:p w14:paraId="51DA6393">
      <w:pPr>
        <w:keepNext w:val="0"/>
        <w:keepLines w:val="0"/>
        <w:pageBreakBefore w:val="0"/>
        <w:kinsoku/>
        <w:wordWrap/>
        <w:overflowPunct/>
        <w:topLinePunct w:val="0"/>
        <w:autoSpaceDE/>
        <w:autoSpaceDN/>
        <w:bidi w:val="0"/>
        <w:adjustRightInd/>
        <w:spacing w:line="560" w:lineRule="exact"/>
        <w:ind w:firstLine="632" w:firstLineChars="200"/>
        <w:textAlignment w:val="center"/>
        <w:rPr>
          <w:rFonts w:hint="eastAsia"/>
          <w:color w:val="auto"/>
          <w:lang w:val="en-US" w:eastAsia="zh-CN"/>
        </w:rPr>
      </w:pPr>
      <w:r>
        <w:rPr>
          <w:rFonts w:hint="eastAsia"/>
          <w:color w:val="auto"/>
          <w:lang w:val="en-US" w:eastAsia="zh-CN"/>
        </w:rPr>
        <w:t>9.乙方应为作业人员提供符合国家标准规范的劳动防护用品，并监督、教育其正确佩戴和使用，不按规定佩戴和使用劳动防护用品的人员，不得上岗作业。乙方不得安排有职业禁忌的员工从事其所禁忌的作业。</w:t>
      </w:r>
    </w:p>
    <w:p w14:paraId="4C9AA655">
      <w:pPr>
        <w:keepNext w:val="0"/>
        <w:keepLines w:val="0"/>
        <w:pageBreakBefore w:val="0"/>
        <w:kinsoku/>
        <w:wordWrap/>
        <w:overflowPunct/>
        <w:topLinePunct w:val="0"/>
        <w:autoSpaceDE/>
        <w:autoSpaceDN/>
        <w:bidi w:val="0"/>
        <w:adjustRightInd/>
        <w:spacing w:line="560" w:lineRule="exact"/>
        <w:ind w:firstLine="632" w:firstLineChars="200"/>
        <w:textAlignment w:val="center"/>
        <w:rPr>
          <w:rFonts w:hint="eastAsia"/>
          <w:color w:val="auto"/>
          <w:lang w:val="en-US" w:eastAsia="zh-CN"/>
        </w:rPr>
      </w:pPr>
      <w:r>
        <w:rPr>
          <w:rFonts w:hint="eastAsia"/>
          <w:color w:val="auto"/>
          <w:lang w:val="en-US" w:eastAsia="zh-CN"/>
        </w:rPr>
        <w:t>10.乙方对港口作业所需自带或租赁的车辆、机械、设备、设施、工属具等的安全全面负责，定期进行检查、维修和保养，特种设备应取得国家颁发的使用登记证，并在检验有效期内，车辆、机械、设备等操作人员应取得国家规定的操作证且证件在有效期内。由甲方提供的车辆、机械、设备、设施、工属具等在交付前双方检查进行安全确认，交付后由乙方负责使用期间的安全维护，乙方未经甲方同意，不得擅自使用甲方的车辆、机械、设备、设施、工属具等。</w:t>
      </w:r>
    </w:p>
    <w:p w14:paraId="53F8091C">
      <w:pPr>
        <w:keepNext w:val="0"/>
        <w:keepLines w:val="0"/>
        <w:pageBreakBefore w:val="0"/>
        <w:kinsoku/>
        <w:wordWrap/>
        <w:overflowPunct/>
        <w:topLinePunct w:val="0"/>
        <w:autoSpaceDE/>
        <w:autoSpaceDN/>
        <w:bidi w:val="0"/>
        <w:adjustRightInd/>
        <w:spacing w:line="560" w:lineRule="exact"/>
        <w:ind w:firstLine="632" w:firstLineChars="200"/>
        <w:textAlignment w:val="center"/>
        <w:rPr>
          <w:rFonts w:hint="eastAsia"/>
          <w:color w:val="auto"/>
          <w:lang w:val="en-US" w:eastAsia="zh-CN"/>
        </w:rPr>
      </w:pPr>
      <w:r>
        <w:rPr>
          <w:rFonts w:hint="eastAsia"/>
          <w:color w:val="auto"/>
          <w:lang w:val="en-US" w:eastAsia="zh-CN"/>
        </w:rPr>
        <w:t>11.乙方应遵守甲方辖区交通安全管理相关制度和规定，严格执行甲方辖区占道作业安全管理、车辆限速</w:t>
      </w:r>
      <w:r>
        <w:rPr>
          <w:rFonts w:hint="eastAsia" w:ascii="仿宋_GB2312" w:hAnsi="仿宋_GB2312" w:cs="仿宋_GB2312"/>
          <w:color w:val="auto"/>
          <w:sz w:val="32"/>
          <w:szCs w:val="32"/>
          <w:highlight w:val="none"/>
          <w:lang w:val="en-US" w:eastAsia="zh-CN"/>
        </w:rPr>
        <w:t>（港区道路直线行驶限速20km/h，转弯路口限速5km/h）</w:t>
      </w:r>
      <w:r>
        <w:rPr>
          <w:rFonts w:hint="eastAsia"/>
          <w:color w:val="auto"/>
          <w:lang w:val="en-US" w:eastAsia="zh-CN"/>
        </w:rPr>
        <w:t>、人车分流等交通安全管理要求。</w:t>
      </w:r>
    </w:p>
    <w:p w14:paraId="4D140CCB">
      <w:pPr>
        <w:keepNext w:val="0"/>
        <w:keepLines w:val="0"/>
        <w:pageBreakBefore w:val="0"/>
        <w:kinsoku/>
        <w:wordWrap/>
        <w:overflowPunct/>
        <w:topLinePunct w:val="0"/>
        <w:autoSpaceDE/>
        <w:autoSpaceDN/>
        <w:bidi w:val="0"/>
        <w:adjustRightInd/>
        <w:spacing w:line="560" w:lineRule="exact"/>
        <w:ind w:firstLine="632" w:firstLineChars="200"/>
        <w:textAlignment w:val="center"/>
        <w:rPr>
          <w:rFonts w:hint="eastAsia"/>
          <w:color w:val="auto"/>
          <w:lang w:val="en-US" w:eastAsia="zh-CN"/>
        </w:rPr>
      </w:pPr>
      <w:r>
        <w:rPr>
          <w:rFonts w:hint="eastAsia"/>
          <w:color w:val="auto"/>
          <w:lang w:val="en-US" w:eastAsia="zh-CN"/>
        </w:rPr>
        <w:t>12.乙方应根据港口作业的特点、范围，对作业现场易发生事故的部位、环节进行监控，在作业现场内发生生产安全事故，乙方必须立即向甲方报告，并按照国家有关规定及时、如实向政府相关部门报告。</w:t>
      </w:r>
    </w:p>
    <w:p w14:paraId="0E464FE1">
      <w:pPr>
        <w:keepNext w:val="0"/>
        <w:keepLines w:val="0"/>
        <w:pageBreakBefore w:val="0"/>
        <w:kinsoku/>
        <w:wordWrap/>
        <w:overflowPunct/>
        <w:topLinePunct w:val="0"/>
        <w:autoSpaceDE/>
        <w:autoSpaceDN/>
        <w:bidi w:val="0"/>
        <w:adjustRightInd/>
        <w:spacing w:line="560" w:lineRule="exact"/>
        <w:ind w:firstLine="632" w:firstLineChars="200"/>
        <w:textAlignment w:val="center"/>
        <w:rPr>
          <w:rFonts w:hint="default"/>
          <w:color w:val="auto"/>
          <w:lang w:val="en-US" w:eastAsia="zh-CN"/>
        </w:rPr>
      </w:pPr>
      <w:r>
        <w:rPr>
          <w:rFonts w:hint="eastAsia"/>
          <w:color w:val="auto"/>
          <w:lang w:val="en-US" w:eastAsia="zh-CN"/>
        </w:rPr>
        <w:t>13.乙方应落实员工宿舍区域日常消防安全检查巡查、教育培训、应急演练等工作。</w:t>
      </w:r>
    </w:p>
    <w:p w14:paraId="0BD4279E">
      <w:pPr>
        <w:keepNext w:val="0"/>
        <w:keepLines w:val="0"/>
        <w:pageBreakBefore w:val="0"/>
        <w:kinsoku/>
        <w:wordWrap/>
        <w:overflowPunct/>
        <w:topLinePunct w:val="0"/>
        <w:autoSpaceDE/>
        <w:autoSpaceDN/>
        <w:bidi w:val="0"/>
        <w:adjustRightInd/>
        <w:spacing w:line="560" w:lineRule="exact"/>
        <w:ind w:firstLine="632" w:firstLineChars="200"/>
        <w:textAlignment w:val="center"/>
        <w:rPr>
          <w:rFonts w:hint="eastAsia"/>
          <w:b/>
          <w:bCs/>
          <w:color w:val="auto"/>
        </w:rPr>
      </w:pPr>
      <w:r>
        <w:rPr>
          <w:rFonts w:hint="eastAsia"/>
          <w:b/>
          <w:bCs/>
          <w:color w:val="auto"/>
        </w:rPr>
        <w:t>四、事故责任及赔偿</w:t>
      </w:r>
    </w:p>
    <w:p w14:paraId="766A9373">
      <w:pPr>
        <w:keepNext w:val="0"/>
        <w:keepLines w:val="0"/>
        <w:pageBreakBefore w:val="0"/>
        <w:kinsoku/>
        <w:wordWrap/>
        <w:overflowPunct/>
        <w:topLinePunct w:val="0"/>
        <w:autoSpaceDE/>
        <w:autoSpaceDN/>
        <w:bidi w:val="0"/>
        <w:adjustRightInd/>
        <w:snapToGrid w:val="0"/>
        <w:spacing w:line="560" w:lineRule="exact"/>
        <w:ind w:firstLine="632" w:firstLineChars="200"/>
        <w:textAlignment w:val="center"/>
        <w:rPr>
          <w:rFonts w:hint="eastAsia" w:ascii="仿宋_GB2312" w:hAnsi="仿宋_GB2312" w:eastAsia="仿宋_GB2312" w:cs="仿宋_GB2312"/>
          <w:color w:val="auto"/>
          <w:sz w:val="32"/>
          <w:szCs w:val="32"/>
        </w:rPr>
      </w:pPr>
      <w:r>
        <w:rPr>
          <w:rFonts w:hint="eastAsia" w:ascii="仿宋_GB2312" w:hAnsi="仿宋_GB2312" w:cs="仿宋_GB2312"/>
          <w:color w:val="auto"/>
          <w:sz w:val="32"/>
          <w:szCs w:val="32"/>
          <w:lang w:val="en-US" w:eastAsia="zh-CN"/>
        </w:rPr>
        <w:t>1</w:t>
      </w:r>
      <w:r>
        <w:rPr>
          <w:rFonts w:hint="eastAsia" w:ascii="仿宋_GB2312" w:hAnsi="仿宋_GB2312" w:eastAsia="仿宋_GB2312" w:cs="仿宋_GB2312"/>
          <w:color w:val="auto"/>
          <w:sz w:val="32"/>
          <w:szCs w:val="32"/>
        </w:rPr>
        <w:t>.作业过程中发生的生产安全事故责任以事故调查报告书为准。</w:t>
      </w:r>
    </w:p>
    <w:p w14:paraId="7CFE1E4F">
      <w:pPr>
        <w:keepNext w:val="0"/>
        <w:keepLines w:val="0"/>
        <w:pageBreakBefore w:val="0"/>
        <w:kinsoku/>
        <w:wordWrap/>
        <w:overflowPunct/>
        <w:topLinePunct w:val="0"/>
        <w:autoSpaceDE/>
        <w:autoSpaceDN/>
        <w:bidi w:val="0"/>
        <w:adjustRightInd/>
        <w:snapToGrid w:val="0"/>
        <w:spacing w:line="560" w:lineRule="exact"/>
        <w:ind w:firstLine="632" w:firstLineChars="200"/>
        <w:textAlignment w:val="center"/>
        <w:rPr>
          <w:rFonts w:hint="eastAsia" w:ascii="仿宋_GB2312" w:hAnsi="仿宋_GB2312" w:eastAsia="仿宋_GB2312" w:cs="仿宋_GB2312"/>
          <w:color w:val="auto"/>
          <w:sz w:val="32"/>
          <w:szCs w:val="32"/>
        </w:rPr>
      </w:pPr>
      <w:r>
        <w:rPr>
          <w:rFonts w:hint="eastAsia" w:ascii="仿宋_GB2312" w:hAnsi="仿宋_GB2312" w:cs="仿宋_GB2312"/>
          <w:color w:val="auto"/>
          <w:sz w:val="32"/>
          <w:szCs w:val="32"/>
          <w:lang w:val="en-US" w:eastAsia="zh-CN"/>
        </w:rPr>
        <w:t>2</w:t>
      </w:r>
      <w:r>
        <w:rPr>
          <w:rFonts w:hint="eastAsia" w:ascii="仿宋_GB2312" w:hAnsi="仿宋_GB2312" w:eastAsia="仿宋_GB2312" w:cs="仿宋_GB2312"/>
          <w:color w:val="auto"/>
          <w:sz w:val="32"/>
          <w:szCs w:val="32"/>
        </w:rPr>
        <w:t>.甲方承担己方或己方人员责任造成的伤亡事故、货物损坏、机械或设备设施损坏、火灾事故等生产安全事故的损失及后果。甲方有权向事故责任方索赔非甲方或甲方人员责任造成生产安全事故导致的损失。</w:t>
      </w:r>
    </w:p>
    <w:p w14:paraId="6ECAC956">
      <w:pPr>
        <w:keepNext w:val="0"/>
        <w:keepLines w:val="0"/>
        <w:pageBreakBefore w:val="0"/>
        <w:kinsoku/>
        <w:wordWrap/>
        <w:overflowPunct/>
        <w:topLinePunct w:val="0"/>
        <w:autoSpaceDE/>
        <w:autoSpaceDN/>
        <w:bidi w:val="0"/>
        <w:adjustRightInd/>
        <w:snapToGrid w:val="0"/>
        <w:spacing w:line="560" w:lineRule="exact"/>
        <w:ind w:firstLine="632" w:firstLineChars="200"/>
        <w:textAlignment w:val="center"/>
        <w:rPr>
          <w:rFonts w:hint="eastAsia" w:ascii="仿宋_GB2312" w:hAnsi="仿宋_GB2312" w:eastAsia="仿宋_GB2312" w:cs="仿宋_GB2312"/>
          <w:color w:val="auto"/>
          <w:sz w:val="32"/>
          <w:szCs w:val="32"/>
        </w:rPr>
      </w:pPr>
      <w:r>
        <w:rPr>
          <w:rFonts w:hint="eastAsia" w:ascii="仿宋_GB2312" w:hAnsi="仿宋_GB2312" w:cs="仿宋_GB2312"/>
          <w:color w:val="auto"/>
          <w:sz w:val="32"/>
          <w:szCs w:val="32"/>
          <w:lang w:val="en-US" w:eastAsia="zh-CN"/>
        </w:rPr>
        <w:t>3</w:t>
      </w:r>
      <w:r>
        <w:rPr>
          <w:rFonts w:hint="eastAsia" w:ascii="仿宋_GB2312" w:hAnsi="仿宋_GB2312" w:eastAsia="仿宋_GB2312" w:cs="仿宋_GB2312"/>
          <w:color w:val="auto"/>
          <w:sz w:val="32"/>
          <w:szCs w:val="32"/>
        </w:rPr>
        <w:t>.乙方承担己方或己方人员责任造成的伤亡事故、货物损坏、机械或设备设施损坏、火灾事故等生产安全事故的损失及后果。乙方有权向事故责任方索赔非乙方或乙方人员责任造成生产安全事故导致的损失。</w:t>
      </w:r>
    </w:p>
    <w:p w14:paraId="1D45D04A">
      <w:pPr>
        <w:keepNext w:val="0"/>
        <w:keepLines w:val="0"/>
        <w:pageBreakBefore w:val="0"/>
        <w:kinsoku/>
        <w:wordWrap/>
        <w:overflowPunct/>
        <w:topLinePunct w:val="0"/>
        <w:autoSpaceDE/>
        <w:autoSpaceDN/>
        <w:bidi w:val="0"/>
        <w:adjustRightInd/>
        <w:snapToGrid w:val="0"/>
        <w:spacing w:line="560" w:lineRule="exact"/>
        <w:ind w:firstLine="632" w:firstLineChars="200"/>
        <w:textAlignment w:val="center"/>
        <w:rPr>
          <w:rFonts w:hint="default" w:ascii="仿宋_GB2312" w:hAnsi="仿宋_GB2312" w:eastAsia="仿宋_GB2312" w:cs="仿宋_GB2312"/>
          <w:color w:val="auto"/>
          <w:sz w:val="32"/>
          <w:szCs w:val="32"/>
          <w:lang w:val="en-US" w:eastAsia="zh-CN"/>
        </w:rPr>
      </w:pPr>
      <w:r>
        <w:rPr>
          <w:rFonts w:hint="eastAsia" w:ascii="仿宋_GB2312" w:hAnsi="仿宋_GB2312" w:cs="仿宋_GB2312"/>
          <w:color w:val="auto"/>
          <w:sz w:val="32"/>
          <w:szCs w:val="32"/>
          <w:lang w:val="en-US" w:eastAsia="zh-CN"/>
        </w:rPr>
        <w:t>4.发生生产安全事故后，由于隐瞒不报、谎报、故意拖延不报、故意破坏事故现场，或者无正当理由拒绝接受调查、拒绝提供有关情况和资料，而导致事故性质变化、事故严重程度加剧的，由责任方承担全部责任。连带方可依法进行索赔。</w:t>
      </w:r>
    </w:p>
    <w:p w14:paraId="7923CD6C">
      <w:pPr>
        <w:keepNext w:val="0"/>
        <w:keepLines w:val="0"/>
        <w:pageBreakBefore w:val="0"/>
        <w:kinsoku/>
        <w:wordWrap/>
        <w:overflowPunct/>
        <w:topLinePunct w:val="0"/>
        <w:autoSpaceDE/>
        <w:autoSpaceDN/>
        <w:bidi w:val="0"/>
        <w:adjustRightInd/>
        <w:snapToGrid w:val="0"/>
        <w:spacing w:line="560" w:lineRule="exact"/>
        <w:ind w:firstLine="632" w:firstLineChars="200"/>
        <w:textAlignment w:val="center"/>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五、其他事宜</w:t>
      </w:r>
    </w:p>
    <w:p w14:paraId="677D1691">
      <w:pPr>
        <w:keepNext w:val="0"/>
        <w:keepLines w:val="0"/>
        <w:pageBreakBefore w:val="0"/>
        <w:kinsoku/>
        <w:wordWrap/>
        <w:overflowPunct/>
        <w:topLinePunct w:val="0"/>
        <w:autoSpaceDE/>
        <w:autoSpaceDN/>
        <w:bidi w:val="0"/>
        <w:adjustRightInd/>
        <w:snapToGrid w:val="0"/>
        <w:spacing w:line="560" w:lineRule="exact"/>
        <w:ind w:firstLine="660"/>
        <w:textAlignment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1.甲、乙双方承诺全面切实履行本协议规定的己方责任，如有不履行或部分履行己方责任，承担因此而引起的损失及后果。</w:t>
      </w:r>
    </w:p>
    <w:p w14:paraId="39F20D0F">
      <w:pPr>
        <w:keepNext w:val="0"/>
        <w:keepLines w:val="0"/>
        <w:pageBreakBefore w:val="0"/>
        <w:kinsoku/>
        <w:wordWrap/>
        <w:overflowPunct/>
        <w:topLinePunct w:val="0"/>
        <w:autoSpaceDE/>
        <w:autoSpaceDN/>
        <w:bidi w:val="0"/>
        <w:adjustRightInd/>
        <w:snapToGrid w:val="0"/>
        <w:spacing w:line="560" w:lineRule="exact"/>
        <w:ind w:firstLine="660"/>
        <w:textAlignment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2.本协议</w:t>
      </w:r>
      <w:r>
        <w:rPr>
          <w:rFonts w:hint="eastAsia" w:ascii="仿宋_GB2312" w:hAnsi="仿宋_GB2312" w:eastAsia="仿宋_GB2312" w:cs="仿宋_GB2312"/>
          <w:color w:val="auto"/>
          <w:sz w:val="32"/>
          <w:szCs w:val="32"/>
          <w:lang w:val="en-US" w:eastAsia="zh-CN"/>
        </w:rPr>
        <w:t>作为</w:t>
      </w:r>
      <w:r>
        <w:rPr>
          <w:rFonts w:hint="eastAsia" w:ascii="仿宋_GB2312" w:hAnsi="仿宋_GB2312" w:eastAsia="仿宋_GB2312" w:cs="仿宋_GB2312"/>
          <w:color w:val="auto"/>
          <w:sz w:val="32"/>
          <w:szCs w:val="32"/>
        </w:rPr>
        <w:t>甲、乙双方签订的《</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的附件</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与</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》具备同等</w:t>
      </w:r>
      <w:r>
        <w:rPr>
          <w:rFonts w:hint="eastAsia" w:ascii="仿宋_GB2312" w:hAnsi="仿宋_GB2312" w:eastAsia="仿宋_GB2312" w:cs="仿宋_GB2312"/>
          <w:color w:val="auto"/>
          <w:sz w:val="32"/>
          <w:szCs w:val="32"/>
          <w:lang w:val="en-US" w:eastAsia="zh-CN"/>
        </w:rPr>
        <w:t>法律</w:t>
      </w:r>
      <w:r>
        <w:rPr>
          <w:rFonts w:hint="eastAsia" w:ascii="仿宋_GB2312" w:hAnsi="仿宋_GB2312" w:eastAsia="仿宋_GB2312" w:cs="仿宋_GB2312"/>
          <w:color w:val="auto"/>
          <w:sz w:val="32"/>
          <w:szCs w:val="32"/>
        </w:rPr>
        <w:t>效力</w:t>
      </w:r>
      <w:r>
        <w:rPr>
          <w:rFonts w:hint="eastAsia" w:ascii="仿宋_GB2312" w:hAnsi="仿宋_GB2312" w:eastAsia="仿宋_GB2312" w:cs="仿宋_GB2312"/>
          <w:color w:val="auto"/>
          <w:sz w:val="32"/>
          <w:szCs w:val="32"/>
          <w:lang w:val="en-US" w:eastAsia="zh-CN"/>
        </w:rPr>
        <w:t>且有效期一致</w:t>
      </w:r>
      <w:r>
        <w:rPr>
          <w:rFonts w:hint="eastAsia" w:ascii="仿宋_GB2312" w:hAnsi="仿宋_GB2312" w:eastAsia="仿宋_GB2312" w:cs="仿宋_GB2312"/>
          <w:color w:val="auto"/>
          <w:sz w:val="32"/>
          <w:szCs w:val="32"/>
        </w:rPr>
        <w:t>。（填写甲乙双方针对</w:t>
      </w:r>
      <w:r>
        <w:rPr>
          <w:rFonts w:hint="eastAsia" w:ascii="仿宋_GB2312" w:hAnsi="仿宋_GB2312" w:cs="仿宋_GB2312"/>
          <w:color w:val="auto"/>
          <w:sz w:val="32"/>
          <w:szCs w:val="32"/>
          <w:lang w:val="en-US" w:eastAsia="zh-CN"/>
        </w:rPr>
        <w:t>港口作业</w:t>
      </w:r>
      <w:r>
        <w:rPr>
          <w:rFonts w:hint="eastAsia" w:ascii="仿宋_GB2312" w:hAnsi="仿宋_GB2312" w:eastAsia="仿宋_GB2312" w:cs="仿宋_GB2312"/>
          <w:color w:val="auto"/>
          <w:sz w:val="32"/>
          <w:szCs w:val="32"/>
        </w:rPr>
        <w:t>事宜所签订</w:t>
      </w:r>
      <w:r>
        <w:rPr>
          <w:rFonts w:hint="eastAsia" w:ascii="仿宋_GB2312" w:hAnsi="仿宋_GB2312" w:eastAsia="仿宋_GB2312" w:cs="仿宋_GB2312"/>
          <w:color w:val="auto"/>
          <w:sz w:val="32"/>
          <w:szCs w:val="32"/>
          <w:lang w:val="en-US" w:eastAsia="zh-CN"/>
        </w:rPr>
        <w:t>合同的合同名称</w:t>
      </w:r>
      <w:r>
        <w:rPr>
          <w:rFonts w:hint="eastAsia" w:ascii="仿宋_GB2312" w:hAnsi="仿宋_GB2312" w:cs="仿宋_GB2312"/>
          <w:color w:val="auto"/>
          <w:sz w:val="32"/>
          <w:szCs w:val="32"/>
          <w:lang w:val="en-US" w:eastAsia="zh-CN"/>
        </w:rPr>
        <w:t>）</w:t>
      </w:r>
    </w:p>
    <w:p w14:paraId="0FA03539">
      <w:pPr>
        <w:keepNext w:val="0"/>
        <w:keepLines w:val="0"/>
        <w:pageBreakBefore w:val="0"/>
        <w:kinsoku/>
        <w:wordWrap/>
        <w:overflowPunct/>
        <w:topLinePunct w:val="0"/>
        <w:autoSpaceDE/>
        <w:autoSpaceDN/>
        <w:bidi w:val="0"/>
        <w:adjustRightInd/>
        <w:snapToGrid w:val="0"/>
        <w:spacing w:line="560" w:lineRule="exact"/>
        <w:ind w:firstLine="660"/>
        <w:textAlignment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3.本协议执行过程中，如发生争议，由双方协商解决；若经协商不能解决争议的，</w:t>
      </w:r>
      <w:r>
        <w:rPr>
          <w:rFonts w:hint="eastAsia" w:ascii="仿宋_GB2312" w:hAnsi="仿宋_GB2312" w:eastAsia="仿宋_GB2312" w:cs="仿宋_GB2312"/>
          <w:color w:val="auto"/>
          <w:sz w:val="32"/>
          <w:szCs w:val="32"/>
          <w:lang w:val="en-US" w:eastAsia="zh-CN"/>
        </w:rPr>
        <w:t>任何一方应向甲方住所地人民法院提出诉讼</w:t>
      </w:r>
      <w:r>
        <w:rPr>
          <w:rFonts w:hint="eastAsia" w:ascii="仿宋_GB2312" w:hAnsi="仿宋_GB2312" w:eastAsia="仿宋_GB2312" w:cs="仿宋_GB2312"/>
          <w:color w:val="auto"/>
          <w:sz w:val="32"/>
          <w:szCs w:val="32"/>
        </w:rPr>
        <w:t>。</w:t>
      </w:r>
    </w:p>
    <w:p w14:paraId="4C3C7CF9">
      <w:pPr>
        <w:keepNext w:val="0"/>
        <w:keepLines w:val="0"/>
        <w:pageBreakBefore w:val="0"/>
        <w:kinsoku/>
        <w:wordWrap/>
        <w:overflowPunct/>
        <w:topLinePunct w:val="0"/>
        <w:autoSpaceDE/>
        <w:autoSpaceDN/>
        <w:bidi w:val="0"/>
        <w:adjustRightInd/>
        <w:snapToGrid w:val="0"/>
        <w:spacing w:line="560" w:lineRule="exact"/>
        <w:ind w:firstLine="660"/>
        <w:textAlignment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4.本协议未尽事宜，双方友好协商解决，可根据法律、法规规定，结合实际，对本协议条款具体化、补充或修改，另附专用条款约定。</w:t>
      </w:r>
    </w:p>
    <w:p w14:paraId="4AECE252">
      <w:pPr>
        <w:keepNext w:val="0"/>
        <w:keepLines w:val="0"/>
        <w:pageBreakBefore w:val="0"/>
        <w:kinsoku/>
        <w:wordWrap/>
        <w:overflowPunct/>
        <w:topLinePunct w:val="0"/>
        <w:autoSpaceDE/>
        <w:autoSpaceDN/>
        <w:bidi w:val="0"/>
        <w:adjustRightInd/>
        <w:snapToGrid w:val="0"/>
        <w:spacing w:line="560" w:lineRule="exact"/>
        <w:ind w:firstLine="660"/>
        <w:textAlignment w:val="center"/>
        <w:rPr>
          <w:rFonts w:hint="eastAsia" w:ascii="仿宋_GB2312" w:hAnsi="仿宋_GB2312" w:eastAsia="仿宋_GB2312" w:cs="仿宋_GB2312"/>
          <w:color w:val="auto"/>
          <w:sz w:val="32"/>
          <w:szCs w:val="32"/>
        </w:rPr>
      </w:pPr>
      <w:r>
        <w:rPr>
          <w:rFonts w:hint="eastAsia" w:ascii="仿宋_GB2312" w:hAnsi="仿宋_GB2312" w:cs="仿宋_GB2312"/>
          <w:color w:val="auto"/>
          <w:sz w:val="32"/>
          <w:szCs w:val="32"/>
          <w:lang w:val="en-US" w:eastAsia="zh-CN"/>
        </w:rPr>
        <w:t>5.</w:t>
      </w:r>
      <w:r>
        <w:rPr>
          <w:rFonts w:hint="eastAsia" w:ascii="仿宋_GB2312" w:hAnsi="仿宋_GB2312" w:eastAsia="仿宋_GB2312" w:cs="仿宋_GB2312"/>
          <w:color w:val="auto"/>
          <w:sz w:val="32"/>
          <w:szCs w:val="32"/>
        </w:rPr>
        <w:t>本协议经甲、乙双方签署盖章后生效。</w:t>
      </w:r>
    </w:p>
    <w:p w14:paraId="61442FC9">
      <w:pPr>
        <w:keepNext w:val="0"/>
        <w:keepLines w:val="0"/>
        <w:pageBreakBefore w:val="0"/>
        <w:kinsoku/>
        <w:wordWrap/>
        <w:overflowPunct/>
        <w:topLinePunct w:val="0"/>
        <w:autoSpaceDE/>
        <w:autoSpaceDN/>
        <w:bidi w:val="0"/>
        <w:adjustRightInd/>
        <w:snapToGrid w:val="0"/>
        <w:spacing w:line="560" w:lineRule="exact"/>
        <w:ind w:firstLine="660"/>
        <w:textAlignment w:val="center"/>
        <w:rPr>
          <w:rFonts w:hint="eastAsia" w:ascii="仿宋_GB2312" w:hAnsi="仿宋_GB2312" w:eastAsia="仿宋_GB2312" w:cs="仿宋_GB2312"/>
          <w:color w:val="auto"/>
          <w:sz w:val="32"/>
          <w:szCs w:val="32"/>
        </w:rPr>
      </w:pPr>
      <w:r>
        <w:rPr>
          <w:rFonts w:hint="eastAsia" w:ascii="仿宋_GB2312" w:hAnsi="仿宋_GB2312" w:cs="仿宋_GB2312"/>
          <w:color w:val="auto"/>
          <w:sz w:val="32"/>
          <w:szCs w:val="32"/>
          <w:lang w:val="en-US" w:eastAsia="zh-CN"/>
        </w:rPr>
        <w:t>6</w:t>
      </w:r>
      <w:r>
        <w:rPr>
          <w:rFonts w:hint="eastAsia" w:ascii="仿宋_GB2312" w:hAnsi="仿宋_GB2312" w:eastAsia="仿宋_GB2312" w:cs="仿宋_GB2312"/>
          <w:color w:val="auto"/>
          <w:sz w:val="32"/>
          <w:szCs w:val="32"/>
        </w:rPr>
        <w:t>.本协议一式两份，甲</w:t>
      </w:r>
      <w:r>
        <w:rPr>
          <w:rFonts w:hint="eastAsia" w:ascii="仿宋_GB2312" w:hAnsi="仿宋_GB2312" w:cs="仿宋_GB2312"/>
          <w:color w:val="auto"/>
          <w:sz w:val="32"/>
          <w:szCs w:val="32"/>
          <w:lang w:eastAsia="zh-CN"/>
        </w:rPr>
        <w:t>、</w:t>
      </w:r>
      <w:r>
        <w:rPr>
          <w:rFonts w:hint="eastAsia" w:ascii="仿宋_GB2312" w:hAnsi="仿宋_GB2312" w:eastAsia="仿宋_GB2312" w:cs="仿宋_GB2312"/>
          <w:color w:val="auto"/>
          <w:sz w:val="32"/>
          <w:szCs w:val="32"/>
        </w:rPr>
        <w:t>乙双方</w:t>
      </w:r>
      <w:r>
        <w:rPr>
          <w:rFonts w:hint="eastAsia" w:ascii="仿宋_GB2312" w:hAnsi="仿宋_GB2312" w:cs="仿宋_GB2312"/>
          <w:color w:val="auto"/>
          <w:sz w:val="32"/>
          <w:szCs w:val="32"/>
          <w:lang w:val="en-US" w:eastAsia="zh-CN"/>
        </w:rPr>
        <w:t>各</w:t>
      </w:r>
      <w:r>
        <w:rPr>
          <w:rFonts w:hint="eastAsia" w:ascii="仿宋_GB2312" w:hAnsi="仿宋_GB2312" w:eastAsia="仿宋_GB2312" w:cs="仿宋_GB2312"/>
          <w:color w:val="auto"/>
          <w:sz w:val="32"/>
          <w:szCs w:val="32"/>
        </w:rPr>
        <w:t>一份。</w:t>
      </w:r>
    </w:p>
    <w:p w14:paraId="1605A00C">
      <w:pPr>
        <w:keepNext w:val="0"/>
        <w:keepLines w:val="0"/>
        <w:pageBreakBefore w:val="0"/>
        <w:kinsoku/>
        <w:wordWrap/>
        <w:overflowPunct/>
        <w:topLinePunct w:val="0"/>
        <w:autoSpaceDE/>
        <w:autoSpaceDN/>
        <w:bidi w:val="0"/>
        <w:adjustRightInd/>
        <w:snapToGrid w:val="0"/>
        <w:spacing w:line="560" w:lineRule="exact"/>
        <w:ind w:firstLine="660"/>
        <w:textAlignment w:val="center"/>
        <w:rPr>
          <w:rFonts w:hint="eastAsia" w:ascii="仿宋_GB2312" w:hAnsi="仿宋_GB2312" w:eastAsia="仿宋_GB2312" w:cs="仿宋_GB2312"/>
          <w:color w:val="auto"/>
          <w:sz w:val="32"/>
          <w:szCs w:val="32"/>
        </w:rPr>
      </w:pPr>
    </w:p>
    <w:p w14:paraId="767E4B0A">
      <w:pPr>
        <w:keepNext w:val="0"/>
        <w:keepLines w:val="0"/>
        <w:pageBreakBefore w:val="0"/>
        <w:kinsoku/>
        <w:wordWrap/>
        <w:overflowPunct/>
        <w:topLinePunct w:val="0"/>
        <w:autoSpaceDE/>
        <w:autoSpaceDN/>
        <w:bidi w:val="0"/>
        <w:adjustRightInd/>
        <w:snapToGrid w:val="0"/>
        <w:spacing w:line="560" w:lineRule="exact"/>
        <w:ind w:firstLine="0"/>
        <w:textAlignment w:val="center"/>
        <w:rPr>
          <w:rFonts w:hint="eastAsia" w:ascii="仿宋_GB2312" w:hAnsi="仿宋_GB2312" w:eastAsia="仿宋_GB2312" w:cs="仿宋_GB2312"/>
          <w:color w:val="auto"/>
          <w:sz w:val="32"/>
          <w:szCs w:val="32"/>
        </w:rPr>
      </w:pPr>
    </w:p>
    <w:p w14:paraId="3DAF1279">
      <w:pPr>
        <w:keepNext w:val="0"/>
        <w:keepLines w:val="0"/>
        <w:pageBreakBefore w:val="0"/>
        <w:kinsoku/>
        <w:wordWrap/>
        <w:overflowPunct/>
        <w:topLinePunct w:val="0"/>
        <w:autoSpaceDE/>
        <w:autoSpaceDN/>
        <w:bidi w:val="0"/>
        <w:adjustRightInd/>
        <w:snapToGrid w:val="0"/>
        <w:spacing w:line="560" w:lineRule="exact"/>
        <w:textAlignment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甲方（盖章）                       乙方（盖章）</w:t>
      </w:r>
    </w:p>
    <w:p w14:paraId="671F6363">
      <w:pPr>
        <w:keepNext w:val="0"/>
        <w:keepLines w:val="0"/>
        <w:pageBreakBefore w:val="0"/>
        <w:kinsoku/>
        <w:wordWrap/>
        <w:overflowPunct/>
        <w:topLinePunct w:val="0"/>
        <w:autoSpaceDE/>
        <w:autoSpaceDN/>
        <w:bidi w:val="0"/>
        <w:adjustRightInd/>
        <w:snapToGrid w:val="0"/>
        <w:spacing w:line="560" w:lineRule="exact"/>
        <w:textAlignment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负责人：                           法人代表：</w:t>
      </w:r>
    </w:p>
    <w:p w14:paraId="3C33421D">
      <w:pPr>
        <w:keepNext w:val="0"/>
        <w:keepLines w:val="0"/>
        <w:pageBreakBefore w:val="0"/>
        <w:kinsoku/>
        <w:wordWrap/>
        <w:overflowPunct/>
        <w:topLinePunct w:val="0"/>
        <w:autoSpaceDE/>
        <w:autoSpaceDN/>
        <w:bidi w:val="0"/>
        <w:adjustRightInd/>
        <w:snapToGrid w:val="0"/>
        <w:spacing w:line="560" w:lineRule="exact"/>
        <w:ind w:firstLine="1094" w:firstLineChars="346"/>
        <w:textAlignment w:val="center"/>
        <w:rPr>
          <w:rFonts w:hint="eastAsia" w:ascii="仿宋_GB2312" w:hAnsi="仿宋_GB2312" w:eastAsia="仿宋_GB2312" w:cs="仿宋_GB2312"/>
          <w:color w:val="auto"/>
          <w:sz w:val="32"/>
          <w:szCs w:val="32"/>
        </w:rPr>
      </w:pPr>
    </w:p>
    <w:p w14:paraId="2183BF9F">
      <w:pPr>
        <w:keepNext w:val="0"/>
        <w:keepLines w:val="0"/>
        <w:pageBreakBefore w:val="0"/>
        <w:kinsoku/>
        <w:wordWrap/>
        <w:overflowPunct/>
        <w:topLinePunct w:val="0"/>
        <w:autoSpaceDE/>
        <w:autoSpaceDN/>
        <w:bidi w:val="0"/>
        <w:adjustRightInd/>
        <w:snapToGrid w:val="0"/>
        <w:spacing w:line="560" w:lineRule="exact"/>
        <w:ind w:firstLine="1094" w:firstLineChars="346"/>
        <w:textAlignment w:val="center"/>
        <w:rPr>
          <w:color w:val="auto"/>
        </w:rPr>
        <w:sectPr>
          <w:pgSz w:w="11906" w:h="16838"/>
          <w:pgMar w:top="2098" w:right="1474" w:bottom="1984" w:left="1587" w:header="851" w:footer="992" w:gutter="0"/>
          <w:cols w:space="0" w:num="1"/>
          <w:rtlGutter w:val="0"/>
          <w:docGrid w:type="linesAndChars" w:linePitch="579" w:charSpace="-842"/>
        </w:sectPr>
      </w:pPr>
      <w:r>
        <w:rPr>
          <w:rFonts w:hint="eastAsia" w:ascii="仿宋_GB2312" w:hAnsi="仿宋_GB2312" w:eastAsia="仿宋_GB2312" w:cs="仿宋_GB2312"/>
          <w:color w:val="auto"/>
          <w:sz w:val="32"/>
          <w:szCs w:val="32"/>
        </w:rPr>
        <w:t>年   月   日                     年   月   日</w:t>
      </w:r>
    </w:p>
    <w:p w14:paraId="1445D090">
      <w:pPr>
        <w:keepNext w:val="0"/>
        <w:keepLines w:val="0"/>
        <w:pageBreakBefore w:val="0"/>
        <w:kinsoku/>
        <w:wordWrap/>
        <w:overflowPunct/>
        <w:topLinePunct w:val="0"/>
        <w:autoSpaceDE/>
        <w:autoSpaceDN/>
        <w:bidi w:val="0"/>
        <w:adjustRightInd/>
        <w:spacing w:line="560" w:lineRule="exact"/>
        <w:textAlignment w:val="center"/>
        <w:rPr>
          <w:color w:val="auto"/>
        </w:rPr>
      </w:pPr>
    </w:p>
    <w:sectPr>
      <w:pgSz w:w="11906" w:h="16838"/>
      <w:pgMar w:top="2098" w:right="1474" w:bottom="1984" w:left="1587" w:header="851" w:footer="992" w:gutter="0"/>
      <w:cols w:space="0" w:num="1"/>
      <w:rtlGutter w:val="0"/>
      <w:docGrid w:type="linesAndChars" w:linePitch="579" w:charSpace="-84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1" w:fontKey="{CEBA5D9C-1872-44D5-A909-4C7CBA665463}"/>
  </w:font>
  <w:font w:name="方正仿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58"/>
  <w:drawingGridVerticalSpacing w:val="290"/>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MwMmM0MDE0N2JhNTRkMGFkOWU4MGJkNmEyOGJiNTkifQ=="/>
  </w:docVars>
  <w:rsids>
    <w:rsidRoot w:val="00000000"/>
    <w:rsid w:val="00B723AA"/>
    <w:rsid w:val="01AD3D73"/>
    <w:rsid w:val="02282166"/>
    <w:rsid w:val="023250AD"/>
    <w:rsid w:val="025867E9"/>
    <w:rsid w:val="025A48FA"/>
    <w:rsid w:val="0277715F"/>
    <w:rsid w:val="031D0FC4"/>
    <w:rsid w:val="032A1F47"/>
    <w:rsid w:val="0369249D"/>
    <w:rsid w:val="03726617"/>
    <w:rsid w:val="040205A2"/>
    <w:rsid w:val="04090D29"/>
    <w:rsid w:val="04095DA8"/>
    <w:rsid w:val="04123AEA"/>
    <w:rsid w:val="045679AE"/>
    <w:rsid w:val="045F42EE"/>
    <w:rsid w:val="046C2950"/>
    <w:rsid w:val="056D5661"/>
    <w:rsid w:val="058B6DA4"/>
    <w:rsid w:val="059C3D33"/>
    <w:rsid w:val="05C40C8F"/>
    <w:rsid w:val="05D9542D"/>
    <w:rsid w:val="05E066EF"/>
    <w:rsid w:val="07AA66EF"/>
    <w:rsid w:val="084A16CA"/>
    <w:rsid w:val="085D7AD5"/>
    <w:rsid w:val="08AD44D7"/>
    <w:rsid w:val="09434AE4"/>
    <w:rsid w:val="097F1EC8"/>
    <w:rsid w:val="09A276E9"/>
    <w:rsid w:val="0A410BA4"/>
    <w:rsid w:val="0AD64299"/>
    <w:rsid w:val="0AE14F3E"/>
    <w:rsid w:val="0B151B80"/>
    <w:rsid w:val="0BBF278E"/>
    <w:rsid w:val="0C7C1270"/>
    <w:rsid w:val="0CEE1EC4"/>
    <w:rsid w:val="0CFE4B1A"/>
    <w:rsid w:val="0CFE7F60"/>
    <w:rsid w:val="0D175892"/>
    <w:rsid w:val="0F174D4E"/>
    <w:rsid w:val="0F5D0BC8"/>
    <w:rsid w:val="0F871C1B"/>
    <w:rsid w:val="0F98032D"/>
    <w:rsid w:val="0FB32ECF"/>
    <w:rsid w:val="100A034B"/>
    <w:rsid w:val="10A42014"/>
    <w:rsid w:val="1184614B"/>
    <w:rsid w:val="121660AB"/>
    <w:rsid w:val="12430C71"/>
    <w:rsid w:val="12DF3EE3"/>
    <w:rsid w:val="130D01AC"/>
    <w:rsid w:val="133628E6"/>
    <w:rsid w:val="13621213"/>
    <w:rsid w:val="137F4C74"/>
    <w:rsid w:val="13AE4F39"/>
    <w:rsid w:val="14450427"/>
    <w:rsid w:val="1601273A"/>
    <w:rsid w:val="16043EEE"/>
    <w:rsid w:val="16503AF2"/>
    <w:rsid w:val="17825F6C"/>
    <w:rsid w:val="17A61C52"/>
    <w:rsid w:val="185307B3"/>
    <w:rsid w:val="19056169"/>
    <w:rsid w:val="191C0D2A"/>
    <w:rsid w:val="195D3AD2"/>
    <w:rsid w:val="19922B97"/>
    <w:rsid w:val="1A4563DB"/>
    <w:rsid w:val="1A5A6EF5"/>
    <w:rsid w:val="1AE25413"/>
    <w:rsid w:val="1AE71241"/>
    <w:rsid w:val="1B71752D"/>
    <w:rsid w:val="1BBA229F"/>
    <w:rsid w:val="1BE74404"/>
    <w:rsid w:val="1C44465A"/>
    <w:rsid w:val="1C6411A2"/>
    <w:rsid w:val="1D0A7B3A"/>
    <w:rsid w:val="1D0F791C"/>
    <w:rsid w:val="1D3B0C69"/>
    <w:rsid w:val="1D673F27"/>
    <w:rsid w:val="1DDA6E3B"/>
    <w:rsid w:val="1DE8021E"/>
    <w:rsid w:val="1E38018F"/>
    <w:rsid w:val="1F8B3483"/>
    <w:rsid w:val="1FF70100"/>
    <w:rsid w:val="207A375C"/>
    <w:rsid w:val="2084490C"/>
    <w:rsid w:val="20857289"/>
    <w:rsid w:val="20D30092"/>
    <w:rsid w:val="20F94347"/>
    <w:rsid w:val="216723F1"/>
    <w:rsid w:val="218078AE"/>
    <w:rsid w:val="21EA2D05"/>
    <w:rsid w:val="2214023C"/>
    <w:rsid w:val="22CC2BFF"/>
    <w:rsid w:val="23AE1072"/>
    <w:rsid w:val="242201EF"/>
    <w:rsid w:val="242642DB"/>
    <w:rsid w:val="2483022C"/>
    <w:rsid w:val="25613BCA"/>
    <w:rsid w:val="259C69D4"/>
    <w:rsid w:val="25E122F8"/>
    <w:rsid w:val="261D218B"/>
    <w:rsid w:val="26502CD8"/>
    <w:rsid w:val="26722306"/>
    <w:rsid w:val="269E3A6B"/>
    <w:rsid w:val="26F51D8F"/>
    <w:rsid w:val="26F726A9"/>
    <w:rsid w:val="273417C6"/>
    <w:rsid w:val="277B5F56"/>
    <w:rsid w:val="27E56B08"/>
    <w:rsid w:val="282C1F78"/>
    <w:rsid w:val="28D468BC"/>
    <w:rsid w:val="28EB10B1"/>
    <w:rsid w:val="28F60FCD"/>
    <w:rsid w:val="298634AE"/>
    <w:rsid w:val="29D66E04"/>
    <w:rsid w:val="2A7E7F23"/>
    <w:rsid w:val="2A8B7E3A"/>
    <w:rsid w:val="2B3269EC"/>
    <w:rsid w:val="2B5711AB"/>
    <w:rsid w:val="2B6C58EF"/>
    <w:rsid w:val="2B8D5E01"/>
    <w:rsid w:val="2CB02936"/>
    <w:rsid w:val="2CC405D2"/>
    <w:rsid w:val="2CC41054"/>
    <w:rsid w:val="2CEC7043"/>
    <w:rsid w:val="2D23171B"/>
    <w:rsid w:val="2DC903B6"/>
    <w:rsid w:val="2F587703"/>
    <w:rsid w:val="30021B53"/>
    <w:rsid w:val="31511475"/>
    <w:rsid w:val="315E3BB3"/>
    <w:rsid w:val="317D4E6E"/>
    <w:rsid w:val="318109C5"/>
    <w:rsid w:val="31967CDB"/>
    <w:rsid w:val="319C7EC4"/>
    <w:rsid w:val="31B7469D"/>
    <w:rsid w:val="32B256F6"/>
    <w:rsid w:val="33797C0C"/>
    <w:rsid w:val="33932853"/>
    <w:rsid w:val="33942FB3"/>
    <w:rsid w:val="34682752"/>
    <w:rsid w:val="34AD173C"/>
    <w:rsid w:val="3536211D"/>
    <w:rsid w:val="35A50C51"/>
    <w:rsid w:val="35FB0374"/>
    <w:rsid w:val="36200D59"/>
    <w:rsid w:val="36CD2119"/>
    <w:rsid w:val="37A50588"/>
    <w:rsid w:val="382119CF"/>
    <w:rsid w:val="38815419"/>
    <w:rsid w:val="38C92F71"/>
    <w:rsid w:val="38D97FC3"/>
    <w:rsid w:val="38ED2522"/>
    <w:rsid w:val="39081343"/>
    <w:rsid w:val="39166DE6"/>
    <w:rsid w:val="3B39113B"/>
    <w:rsid w:val="3B700E0D"/>
    <w:rsid w:val="3B7D7842"/>
    <w:rsid w:val="3C5A61B6"/>
    <w:rsid w:val="3C660404"/>
    <w:rsid w:val="3CA738D6"/>
    <w:rsid w:val="3D6B410A"/>
    <w:rsid w:val="3D930BEE"/>
    <w:rsid w:val="3D9C4272"/>
    <w:rsid w:val="3EAC64AB"/>
    <w:rsid w:val="3EC907DA"/>
    <w:rsid w:val="3ED06001"/>
    <w:rsid w:val="3F3A5964"/>
    <w:rsid w:val="3F43263A"/>
    <w:rsid w:val="3F921B7D"/>
    <w:rsid w:val="3FCA311E"/>
    <w:rsid w:val="401439A6"/>
    <w:rsid w:val="40943DA2"/>
    <w:rsid w:val="40F356C8"/>
    <w:rsid w:val="410546DF"/>
    <w:rsid w:val="41BA1AB6"/>
    <w:rsid w:val="424830B0"/>
    <w:rsid w:val="427E553A"/>
    <w:rsid w:val="42CC63B1"/>
    <w:rsid w:val="430C1766"/>
    <w:rsid w:val="433A4F68"/>
    <w:rsid w:val="43C20DC1"/>
    <w:rsid w:val="43C967C1"/>
    <w:rsid w:val="442A5B77"/>
    <w:rsid w:val="445B305F"/>
    <w:rsid w:val="44886C3C"/>
    <w:rsid w:val="44A65B45"/>
    <w:rsid w:val="44C53875"/>
    <w:rsid w:val="45226876"/>
    <w:rsid w:val="45BB5620"/>
    <w:rsid w:val="45CC42CD"/>
    <w:rsid w:val="46151566"/>
    <w:rsid w:val="46860C43"/>
    <w:rsid w:val="473851AF"/>
    <w:rsid w:val="4797391E"/>
    <w:rsid w:val="484B3679"/>
    <w:rsid w:val="48CE657F"/>
    <w:rsid w:val="48FE1DE2"/>
    <w:rsid w:val="49587485"/>
    <w:rsid w:val="4B1355B6"/>
    <w:rsid w:val="4C131395"/>
    <w:rsid w:val="4C896C11"/>
    <w:rsid w:val="4CC90409"/>
    <w:rsid w:val="4D4068DB"/>
    <w:rsid w:val="4DB22585"/>
    <w:rsid w:val="4E330771"/>
    <w:rsid w:val="4E817A72"/>
    <w:rsid w:val="4F143107"/>
    <w:rsid w:val="4F1B761D"/>
    <w:rsid w:val="4F8D2C57"/>
    <w:rsid w:val="50062D57"/>
    <w:rsid w:val="5016434A"/>
    <w:rsid w:val="50475157"/>
    <w:rsid w:val="508C1287"/>
    <w:rsid w:val="50EA4F85"/>
    <w:rsid w:val="511668BD"/>
    <w:rsid w:val="51AA0AF4"/>
    <w:rsid w:val="52674C58"/>
    <w:rsid w:val="526A6B2C"/>
    <w:rsid w:val="526D6A4B"/>
    <w:rsid w:val="52B76D18"/>
    <w:rsid w:val="52C134DF"/>
    <w:rsid w:val="530F064A"/>
    <w:rsid w:val="532D2C19"/>
    <w:rsid w:val="537B00AC"/>
    <w:rsid w:val="537F0807"/>
    <w:rsid w:val="53870365"/>
    <w:rsid w:val="539F1658"/>
    <w:rsid w:val="54272918"/>
    <w:rsid w:val="54BE6CF0"/>
    <w:rsid w:val="551230D5"/>
    <w:rsid w:val="55912C0E"/>
    <w:rsid w:val="55D21ECD"/>
    <w:rsid w:val="560A12BC"/>
    <w:rsid w:val="56254A1B"/>
    <w:rsid w:val="564A0E57"/>
    <w:rsid w:val="56F810BD"/>
    <w:rsid w:val="56FB6327"/>
    <w:rsid w:val="576E7293"/>
    <w:rsid w:val="578156BC"/>
    <w:rsid w:val="57C168D6"/>
    <w:rsid w:val="59030A18"/>
    <w:rsid w:val="59A858D9"/>
    <w:rsid w:val="59BF2E11"/>
    <w:rsid w:val="59DC20FA"/>
    <w:rsid w:val="59DF53EE"/>
    <w:rsid w:val="5B4343EB"/>
    <w:rsid w:val="5B743375"/>
    <w:rsid w:val="5B7D6BE9"/>
    <w:rsid w:val="5BBB130B"/>
    <w:rsid w:val="5BC11EE9"/>
    <w:rsid w:val="5BE7124F"/>
    <w:rsid w:val="5C4730DE"/>
    <w:rsid w:val="5C721473"/>
    <w:rsid w:val="5CC91849"/>
    <w:rsid w:val="5D82291B"/>
    <w:rsid w:val="5E567D56"/>
    <w:rsid w:val="5EC37D26"/>
    <w:rsid w:val="5EDF5401"/>
    <w:rsid w:val="61CD42B9"/>
    <w:rsid w:val="61E12825"/>
    <w:rsid w:val="61F4729F"/>
    <w:rsid w:val="61F77FFD"/>
    <w:rsid w:val="63212475"/>
    <w:rsid w:val="63A15A0E"/>
    <w:rsid w:val="63B421AC"/>
    <w:rsid w:val="64624B4F"/>
    <w:rsid w:val="64656CF1"/>
    <w:rsid w:val="653A72B1"/>
    <w:rsid w:val="65A41FDF"/>
    <w:rsid w:val="65D45C1E"/>
    <w:rsid w:val="66E25BBE"/>
    <w:rsid w:val="6720508A"/>
    <w:rsid w:val="67347810"/>
    <w:rsid w:val="675C089F"/>
    <w:rsid w:val="683E0616"/>
    <w:rsid w:val="696D0B26"/>
    <w:rsid w:val="6A4A3849"/>
    <w:rsid w:val="6A503851"/>
    <w:rsid w:val="6A971F91"/>
    <w:rsid w:val="6ABD7581"/>
    <w:rsid w:val="6B2464E1"/>
    <w:rsid w:val="6BBB054D"/>
    <w:rsid w:val="6BCA4F71"/>
    <w:rsid w:val="6BD53C50"/>
    <w:rsid w:val="6BDB6FCC"/>
    <w:rsid w:val="6BE266A7"/>
    <w:rsid w:val="6C1B5450"/>
    <w:rsid w:val="6C654199"/>
    <w:rsid w:val="6CA4725E"/>
    <w:rsid w:val="6D222C46"/>
    <w:rsid w:val="6D242C12"/>
    <w:rsid w:val="6D277E17"/>
    <w:rsid w:val="6D9574DB"/>
    <w:rsid w:val="6E056E0D"/>
    <w:rsid w:val="6EAB2E1E"/>
    <w:rsid w:val="6F837079"/>
    <w:rsid w:val="6FE47840"/>
    <w:rsid w:val="707F1155"/>
    <w:rsid w:val="708B2C71"/>
    <w:rsid w:val="70CE5FE4"/>
    <w:rsid w:val="70D23AA8"/>
    <w:rsid w:val="71327344"/>
    <w:rsid w:val="71545F8A"/>
    <w:rsid w:val="72B13541"/>
    <w:rsid w:val="72CE25E9"/>
    <w:rsid w:val="72D60CA5"/>
    <w:rsid w:val="732E6B82"/>
    <w:rsid w:val="734E4989"/>
    <w:rsid w:val="734F139B"/>
    <w:rsid w:val="73B3587A"/>
    <w:rsid w:val="74EA3747"/>
    <w:rsid w:val="750F3DE0"/>
    <w:rsid w:val="752F37BC"/>
    <w:rsid w:val="75681F2D"/>
    <w:rsid w:val="75747342"/>
    <w:rsid w:val="75755152"/>
    <w:rsid w:val="761E27DC"/>
    <w:rsid w:val="76763F52"/>
    <w:rsid w:val="770664D6"/>
    <w:rsid w:val="77771C8D"/>
    <w:rsid w:val="77895964"/>
    <w:rsid w:val="77CB4ADD"/>
    <w:rsid w:val="787C3AB9"/>
    <w:rsid w:val="78900670"/>
    <w:rsid w:val="78A31169"/>
    <w:rsid w:val="79291ECD"/>
    <w:rsid w:val="798D4602"/>
    <w:rsid w:val="79D928AF"/>
    <w:rsid w:val="7ACD3788"/>
    <w:rsid w:val="7B15329E"/>
    <w:rsid w:val="7B213571"/>
    <w:rsid w:val="7B946F18"/>
    <w:rsid w:val="7C3F0C18"/>
    <w:rsid w:val="7D362FF1"/>
    <w:rsid w:val="7DEE313B"/>
    <w:rsid w:val="7E51005A"/>
    <w:rsid w:val="7E57520A"/>
    <w:rsid w:val="7E5D54DA"/>
    <w:rsid w:val="7E6D5BD3"/>
    <w:rsid w:val="7F0D6881"/>
    <w:rsid w:val="7F7E043E"/>
    <w:rsid w:val="7FFE5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spacing w:line="560" w:lineRule="exact"/>
      <w:ind w:firstLine="420" w:firstLineChars="200"/>
    </w:pPr>
    <w:rPr>
      <w:rFonts w:ascii="Calibri" w:hAnsi="Calibri" w:eastAsia="仿宋_GB2312" w:cs="Times New Roman"/>
      <w:sz w:val="32"/>
      <w:szCs w:val="22"/>
    </w:rPr>
  </w:style>
  <w:style w:type="paragraph" w:styleId="3">
    <w:name w:val="annotation text"/>
    <w:basedOn w:val="1"/>
    <w:qFormat/>
    <w:uiPriority w:val="0"/>
    <w:pPr>
      <w:jc w:val="left"/>
    </w:pPr>
  </w:style>
  <w:style w:type="paragraph" w:styleId="4">
    <w:name w:val="header"/>
    <w:basedOn w:val="1"/>
    <w:qFormat/>
    <w:uiPriority w:val="0"/>
    <w:pPr>
      <w:pBdr>
        <w:bottom w:val="single" w:color="auto" w:sz="6" w:space="1"/>
      </w:pBdr>
      <w:tabs>
        <w:tab w:val="center" w:pos="4153"/>
        <w:tab w:val="right" w:pos="8306"/>
      </w:tabs>
      <w:snapToGrid w:val="0"/>
      <w:jc w:val="center"/>
    </w:pPr>
    <w:rPr>
      <w:rFonts w:eastAsia="宋体"/>
      <w:sz w:val="21"/>
      <w:szCs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8">
    <w:name w:val="Strong"/>
    <w:basedOn w:val="7"/>
    <w:qFormat/>
    <w:uiPriority w:val="0"/>
    <w:rPr>
      <w:b/>
      <w:bCs/>
    </w:rPr>
  </w:style>
  <w:style w:type="paragraph" w:customStyle="1" w:styleId="9">
    <w:name w:val="Default"/>
    <w:qFormat/>
    <w:uiPriority w:val="0"/>
    <w:pPr>
      <w:widowControl w:val="0"/>
      <w:autoSpaceDE w:val="0"/>
      <w:autoSpaceDN w:val="0"/>
      <w:adjustRightInd w:val="0"/>
    </w:pPr>
    <w:rPr>
      <w:rFonts w:hint="eastAsia" w:ascii="方正仿宋_GBK" w:hAnsi="方正仿宋_GBK" w:eastAsia="方正仿宋_GBK" w:cs="Times New Roman"/>
      <w:color w:val="000000"/>
      <w:sz w:val="24"/>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14401</Words>
  <Characters>14660</Characters>
  <Lines>0</Lines>
  <Paragraphs>0</Paragraphs>
  <TotalTime>4119</TotalTime>
  <ScaleCrop>false</ScaleCrop>
  <LinksUpToDate>false</LinksUpToDate>
  <CharactersWithSpaces>16424</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2023-06-19T02:31:00Z</dcterms:created>
  <dc:creator>zhengwy</dc:creator>
  <cp:lastModifiedBy>yyyang</cp:lastModifiedBy>
  <dcterms:modified xsi:type="dcterms:W3CDTF">2026-05-28T03:19:47Z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2052-12.8.2.21177</vt:lpwstr>
  </property>
  <property fmtid="{D5CDD505-2E9C-101B-9397-08002B2CF9AE}" pid="3" name="ICV">
    <vt:lpwstr>7175DFF7BCAC4A6DA3BCC1D415C49B08_13</vt:lpwstr>
  </property>
</Properties>
</file>