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B495B">
      <w:pPr>
        <w:jc w:val="center"/>
        <w:rPr>
          <w:rFonts w:asciiTheme="minorEastAsia" w:hAnsiTheme="minorEastAsia" w:eastAsiaTheme="minorEastAsia"/>
          <w:b/>
          <w:color w:val="auto"/>
          <w:sz w:val="44"/>
          <w:highlight w:val="none"/>
        </w:rPr>
      </w:pPr>
      <w:bookmarkStart w:id="29" w:name="_GoBack"/>
      <w:bookmarkEnd w:id="29"/>
    </w:p>
    <w:p w14:paraId="0EC13D45">
      <w:pPr>
        <w:jc w:val="center"/>
        <w:rPr>
          <w:rFonts w:asciiTheme="minorEastAsia" w:hAnsiTheme="minorEastAsia" w:eastAsiaTheme="minorEastAsia"/>
          <w:b/>
          <w:color w:val="auto"/>
          <w:spacing w:val="100"/>
          <w:sz w:val="44"/>
          <w:szCs w:val="44"/>
          <w:highlight w:val="none"/>
        </w:rPr>
      </w:pPr>
    </w:p>
    <w:p w14:paraId="2C8BE660">
      <w:pPr>
        <w:jc w:val="center"/>
        <w:rPr>
          <w:rFonts w:asciiTheme="minorEastAsia" w:hAnsiTheme="minorEastAsia" w:eastAsiaTheme="minorEastAsia"/>
          <w:b/>
          <w:color w:val="auto"/>
          <w:spacing w:val="100"/>
          <w:sz w:val="44"/>
          <w:szCs w:val="44"/>
          <w:highlight w:val="none"/>
        </w:rPr>
      </w:pPr>
    </w:p>
    <w:p w14:paraId="63C60012">
      <w:pPr>
        <w:jc w:val="center"/>
        <w:rPr>
          <w:rFonts w:asciiTheme="minorEastAsia" w:hAnsiTheme="minorEastAsia" w:eastAsiaTheme="minorEastAsia"/>
          <w:b/>
          <w:color w:val="auto"/>
          <w:spacing w:val="100"/>
          <w:sz w:val="44"/>
          <w:szCs w:val="44"/>
          <w:highlight w:val="none"/>
        </w:rPr>
      </w:pPr>
      <w:r>
        <w:rPr>
          <w:rFonts w:asciiTheme="minorEastAsia" w:hAnsiTheme="minorEastAsia" w:eastAsiaTheme="minorEastAsia"/>
          <w:b/>
          <w:color w:val="auto"/>
          <w:spacing w:val="100"/>
          <w:sz w:val="44"/>
          <w:szCs w:val="44"/>
          <w:highlight w:val="none"/>
        </w:rPr>
        <w:t>广州集装箱码头有限公司</w:t>
      </w:r>
    </w:p>
    <w:p w14:paraId="67B528C4">
      <w:pPr>
        <w:jc w:val="center"/>
        <w:rPr>
          <w:rFonts w:asciiTheme="minorEastAsia" w:hAnsiTheme="minorEastAsia" w:eastAsiaTheme="minorEastAsia"/>
          <w:b/>
          <w:color w:val="auto"/>
          <w:spacing w:val="100"/>
          <w:sz w:val="44"/>
          <w:szCs w:val="44"/>
          <w:highlight w:val="none"/>
        </w:rPr>
      </w:pPr>
      <w:r>
        <w:rPr>
          <w:rFonts w:hint="eastAsia" w:asciiTheme="minorEastAsia" w:hAnsiTheme="minorEastAsia" w:eastAsiaTheme="minorEastAsia"/>
          <w:b/>
          <w:color w:val="auto"/>
          <w:spacing w:val="100"/>
          <w:sz w:val="44"/>
          <w:szCs w:val="44"/>
          <w:highlight w:val="none"/>
          <w:lang w:val="en-US" w:eastAsia="zh-CN"/>
        </w:rPr>
        <w:t>XXXXX</w:t>
      </w:r>
      <w:r>
        <w:rPr>
          <w:rFonts w:hint="eastAsia" w:asciiTheme="minorEastAsia" w:hAnsiTheme="minorEastAsia" w:eastAsiaTheme="minorEastAsia"/>
          <w:b/>
          <w:color w:val="auto"/>
          <w:spacing w:val="100"/>
          <w:sz w:val="44"/>
          <w:szCs w:val="44"/>
          <w:highlight w:val="none"/>
        </w:rPr>
        <w:t>公司</w:t>
      </w:r>
    </w:p>
    <w:p w14:paraId="1F1CCFB5">
      <w:pPr>
        <w:rPr>
          <w:rFonts w:asciiTheme="minorEastAsia" w:hAnsiTheme="minorEastAsia" w:eastAsiaTheme="minorEastAsia"/>
          <w:b/>
          <w:color w:val="auto"/>
          <w:sz w:val="84"/>
          <w:szCs w:val="84"/>
          <w:highlight w:val="none"/>
        </w:rPr>
      </w:pPr>
    </w:p>
    <w:p w14:paraId="0906E2E3">
      <w:pPr>
        <w:jc w:val="center"/>
        <w:rPr>
          <w:rFonts w:asciiTheme="minorEastAsia" w:hAnsiTheme="minorEastAsia" w:eastAsiaTheme="minorEastAsia"/>
          <w:b/>
          <w:color w:val="auto"/>
          <w:sz w:val="84"/>
          <w:szCs w:val="84"/>
          <w:highlight w:val="none"/>
        </w:rPr>
      </w:pPr>
    </w:p>
    <w:p w14:paraId="23A98204">
      <w:pPr>
        <w:jc w:val="center"/>
        <w:rPr>
          <w:rFonts w:asciiTheme="minorEastAsia" w:hAnsiTheme="minorEastAsia" w:eastAsiaTheme="minorEastAsia"/>
          <w:b/>
          <w:color w:val="auto"/>
          <w:sz w:val="84"/>
          <w:szCs w:val="84"/>
          <w:highlight w:val="none"/>
        </w:rPr>
      </w:pPr>
    </w:p>
    <w:p w14:paraId="64A03B53">
      <w:pPr>
        <w:jc w:val="center"/>
        <w:rPr>
          <w:rFonts w:asciiTheme="minorEastAsia" w:hAnsiTheme="minorEastAsia" w:eastAsiaTheme="minorEastAsia"/>
          <w:b/>
          <w:color w:val="auto"/>
          <w:sz w:val="84"/>
          <w:szCs w:val="84"/>
          <w:highlight w:val="none"/>
        </w:rPr>
      </w:pPr>
      <w:r>
        <w:rPr>
          <w:rFonts w:hint="eastAsia" w:asciiTheme="minorEastAsia" w:hAnsiTheme="minorEastAsia" w:eastAsiaTheme="minorEastAsia"/>
          <w:b/>
          <w:color w:val="auto"/>
          <w:sz w:val="84"/>
          <w:szCs w:val="84"/>
          <w:highlight w:val="none"/>
        </w:rPr>
        <w:t>消防维保合同</w:t>
      </w:r>
    </w:p>
    <w:p w14:paraId="1F9CE14F">
      <w:pPr>
        <w:rPr>
          <w:rFonts w:asciiTheme="minorEastAsia" w:hAnsiTheme="minorEastAsia" w:eastAsiaTheme="minorEastAsia"/>
          <w:b/>
          <w:color w:val="auto"/>
          <w:sz w:val="48"/>
          <w:szCs w:val="48"/>
          <w:highlight w:val="none"/>
        </w:rPr>
      </w:pPr>
    </w:p>
    <w:p w14:paraId="45B939EC">
      <w:pPr>
        <w:rPr>
          <w:rFonts w:asciiTheme="minorEastAsia" w:hAnsiTheme="minorEastAsia" w:eastAsiaTheme="minorEastAsia"/>
          <w:b/>
          <w:color w:val="auto"/>
          <w:sz w:val="48"/>
          <w:szCs w:val="48"/>
          <w:highlight w:val="none"/>
        </w:rPr>
      </w:pPr>
    </w:p>
    <w:p w14:paraId="4640065E">
      <w:pPr>
        <w:rPr>
          <w:rFonts w:asciiTheme="minorEastAsia" w:hAnsiTheme="minorEastAsia" w:eastAsiaTheme="minorEastAsia"/>
          <w:b/>
          <w:color w:val="auto"/>
          <w:sz w:val="48"/>
          <w:szCs w:val="48"/>
          <w:highlight w:val="none"/>
        </w:rPr>
      </w:pPr>
    </w:p>
    <w:p w14:paraId="34CF3EFE">
      <w:pPr>
        <w:jc w:val="center"/>
        <w:rPr>
          <w:rFonts w:asciiTheme="minorEastAsia" w:hAnsiTheme="minorEastAsia" w:eastAsiaTheme="minorEastAsia"/>
          <w:b/>
          <w:color w:val="auto"/>
          <w:spacing w:val="100"/>
          <w:sz w:val="48"/>
          <w:szCs w:val="48"/>
          <w:highlight w:val="none"/>
        </w:rPr>
      </w:pPr>
      <w:r>
        <w:rPr>
          <w:rFonts w:hint="eastAsia" w:asciiTheme="minorEastAsia" w:hAnsiTheme="minorEastAsia" w:eastAsiaTheme="minorEastAsia"/>
          <w:b/>
          <w:color w:val="auto"/>
          <w:sz w:val="48"/>
          <w:szCs w:val="48"/>
          <w:highlight w:val="none"/>
        </w:rPr>
        <w:t>GCT消防维保项目</w:t>
      </w:r>
    </w:p>
    <w:p w14:paraId="54D5B812">
      <w:pPr>
        <w:rPr>
          <w:rFonts w:asciiTheme="minorEastAsia" w:hAnsiTheme="minorEastAsia" w:eastAsiaTheme="minorEastAsia"/>
          <w:b/>
          <w:color w:val="auto"/>
          <w:spacing w:val="100"/>
          <w:sz w:val="44"/>
          <w:highlight w:val="none"/>
        </w:rPr>
      </w:pPr>
    </w:p>
    <w:p w14:paraId="0DE28DC3">
      <w:pPr>
        <w:rPr>
          <w:rFonts w:asciiTheme="minorEastAsia" w:hAnsiTheme="minorEastAsia" w:eastAsiaTheme="minorEastAsia"/>
          <w:b/>
          <w:color w:val="auto"/>
          <w:spacing w:val="100"/>
          <w:sz w:val="44"/>
          <w:highlight w:val="none"/>
        </w:rPr>
      </w:pPr>
    </w:p>
    <w:p w14:paraId="1D960A2D">
      <w:pPr>
        <w:rPr>
          <w:rFonts w:asciiTheme="minorEastAsia" w:hAnsiTheme="minorEastAsia" w:eastAsiaTheme="minorEastAsia"/>
          <w:b/>
          <w:color w:val="auto"/>
          <w:spacing w:val="100"/>
          <w:sz w:val="44"/>
          <w:highlight w:val="none"/>
        </w:rPr>
      </w:pPr>
    </w:p>
    <w:p w14:paraId="394708ED">
      <w:pPr>
        <w:rPr>
          <w:rFonts w:asciiTheme="minorEastAsia" w:hAnsiTheme="minorEastAsia" w:eastAsiaTheme="minorEastAsia"/>
          <w:b/>
          <w:color w:val="auto"/>
          <w:spacing w:val="100"/>
          <w:sz w:val="44"/>
          <w:highlight w:val="none"/>
        </w:rPr>
      </w:pPr>
    </w:p>
    <w:p w14:paraId="03C48C2C">
      <w:pPr>
        <w:jc w:val="center"/>
        <w:rPr>
          <w:rFonts w:asciiTheme="minorEastAsia" w:hAnsiTheme="minorEastAsia" w:eastAsiaTheme="minorEastAsia"/>
          <w:b/>
          <w:color w:val="auto"/>
          <w:spacing w:val="100"/>
          <w:sz w:val="44"/>
          <w:highlight w:val="none"/>
        </w:rPr>
      </w:pPr>
      <w:r>
        <w:rPr>
          <w:rFonts w:asciiTheme="minorEastAsia" w:hAnsiTheme="minorEastAsia" w:eastAsiaTheme="minorEastAsia"/>
          <w:b/>
          <w:color w:val="auto"/>
          <w:spacing w:val="100"/>
          <w:sz w:val="44"/>
          <w:highlight w:val="none"/>
        </w:rPr>
        <w:t>（</w:t>
      </w:r>
      <w:r>
        <w:rPr>
          <w:rFonts w:hint="eastAsia" w:asciiTheme="minorEastAsia" w:hAnsiTheme="minorEastAsia" w:eastAsiaTheme="minorEastAsia"/>
          <w:b/>
          <w:color w:val="auto"/>
          <w:spacing w:val="100"/>
          <w:sz w:val="44"/>
          <w:highlight w:val="none"/>
        </w:rPr>
        <w:t>202</w:t>
      </w:r>
      <w:r>
        <w:rPr>
          <w:rFonts w:hint="eastAsia" w:asciiTheme="minorEastAsia" w:hAnsiTheme="minorEastAsia" w:eastAsiaTheme="minorEastAsia"/>
          <w:b/>
          <w:color w:val="auto"/>
          <w:spacing w:val="100"/>
          <w:sz w:val="44"/>
          <w:highlight w:val="none"/>
          <w:lang w:val="en-US" w:eastAsia="zh-CN"/>
        </w:rPr>
        <w:t>X</w:t>
      </w:r>
      <w:r>
        <w:rPr>
          <w:rFonts w:asciiTheme="minorEastAsia" w:hAnsiTheme="minorEastAsia" w:eastAsiaTheme="minorEastAsia"/>
          <w:b/>
          <w:color w:val="auto"/>
          <w:spacing w:val="100"/>
          <w:sz w:val="44"/>
          <w:highlight w:val="none"/>
        </w:rPr>
        <w:t>年</w:t>
      </w:r>
      <w:r>
        <w:rPr>
          <w:rFonts w:hint="eastAsia" w:asciiTheme="minorEastAsia" w:hAnsiTheme="minorEastAsia" w:eastAsiaTheme="minorEastAsia"/>
          <w:b/>
          <w:color w:val="auto"/>
          <w:spacing w:val="100"/>
          <w:sz w:val="44"/>
          <w:highlight w:val="none"/>
        </w:rPr>
        <w:t>0</w:t>
      </w:r>
      <w:r>
        <w:rPr>
          <w:rFonts w:hint="eastAsia" w:asciiTheme="minorEastAsia" w:hAnsiTheme="minorEastAsia" w:eastAsiaTheme="minorEastAsia"/>
          <w:b/>
          <w:color w:val="auto"/>
          <w:spacing w:val="100"/>
          <w:sz w:val="44"/>
          <w:highlight w:val="none"/>
          <w:lang w:val="en-US" w:eastAsia="zh-CN"/>
        </w:rPr>
        <w:t>X</w:t>
      </w:r>
      <w:r>
        <w:rPr>
          <w:rFonts w:asciiTheme="minorEastAsia" w:hAnsiTheme="minorEastAsia" w:eastAsiaTheme="minorEastAsia"/>
          <w:b/>
          <w:color w:val="auto"/>
          <w:spacing w:val="100"/>
          <w:sz w:val="44"/>
          <w:highlight w:val="none"/>
        </w:rPr>
        <w:t>月）</w:t>
      </w:r>
    </w:p>
    <w:p w14:paraId="72774D02">
      <w:pPr>
        <w:spacing w:line="360" w:lineRule="auto"/>
        <w:jc w:val="center"/>
        <w:rPr>
          <w:rFonts w:asciiTheme="minorEastAsia" w:hAnsiTheme="minorEastAsia" w:eastAsiaTheme="minorEastAsia"/>
          <w:b/>
          <w:color w:val="auto"/>
          <w:szCs w:val="24"/>
          <w:highlight w:val="none"/>
        </w:rPr>
      </w:pPr>
    </w:p>
    <w:p w14:paraId="62A6C586">
      <w:pPr>
        <w:spacing w:line="360" w:lineRule="auto"/>
        <w:jc w:val="center"/>
        <w:rPr>
          <w:rFonts w:asciiTheme="minorEastAsia" w:hAnsiTheme="minorEastAsia" w:eastAsiaTheme="minorEastAsia"/>
          <w:b/>
          <w:color w:val="auto"/>
          <w:szCs w:val="24"/>
          <w:highlight w:val="none"/>
        </w:rPr>
      </w:pPr>
    </w:p>
    <w:p w14:paraId="3FCB00EF">
      <w:pPr>
        <w:spacing w:line="360" w:lineRule="auto"/>
        <w:jc w:val="center"/>
        <w:rPr>
          <w:rFonts w:asciiTheme="minorEastAsia" w:hAnsiTheme="minorEastAsia" w:eastAsiaTheme="minorEastAsia"/>
          <w:b/>
          <w:color w:val="auto"/>
          <w:szCs w:val="24"/>
          <w:highlight w:val="none"/>
        </w:rPr>
      </w:pPr>
    </w:p>
    <w:p w14:paraId="23A82035">
      <w:pPr>
        <w:spacing w:after="163" w:afterLines="50" w:line="420" w:lineRule="exact"/>
        <w:jc w:val="center"/>
        <w:rPr>
          <w:rFonts w:asciiTheme="minorEastAsia" w:hAnsiTheme="minorEastAsia" w:eastAsiaTheme="minorEastAsia"/>
          <w:b/>
          <w:color w:val="auto"/>
          <w:szCs w:val="24"/>
          <w:highlight w:val="none"/>
        </w:rPr>
      </w:pPr>
      <w:r>
        <w:rPr>
          <w:rFonts w:hint="eastAsia" w:asciiTheme="minorEastAsia" w:hAnsiTheme="minorEastAsia" w:eastAsiaTheme="minorEastAsia"/>
          <w:b/>
          <w:color w:val="auto"/>
          <w:szCs w:val="24"/>
          <w:highlight w:val="none"/>
        </w:rPr>
        <w:t>合同条款</w:t>
      </w:r>
    </w:p>
    <w:p w14:paraId="25577ECA">
      <w:pPr>
        <w:spacing w:after="163" w:afterLines="50" w:line="420" w:lineRule="exact"/>
        <w:ind w:firstLine="360"/>
        <w:rPr>
          <w:rFonts w:asciiTheme="minorEastAsia" w:hAnsiTheme="minorEastAsia" w:eastAsiaTheme="minorEastAsia"/>
          <w:bCs/>
          <w:color w:val="auto"/>
          <w:kern w:val="44"/>
          <w:szCs w:val="24"/>
          <w:highlight w:val="none"/>
        </w:rPr>
      </w:pPr>
      <w:r>
        <w:rPr>
          <w:rFonts w:hint="eastAsia" w:asciiTheme="minorEastAsia" w:hAnsiTheme="minorEastAsia" w:eastAsiaTheme="minorEastAsia"/>
          <w:bCs/>
          <w:color w:val="auto"/>
          <w:kern w:val="44"/>
          <w:szCs w:val="24"/>
          <w:highlight w:val="none"/>
        </w:rPr>
        <w:t xml:space="preserve">甲方：广州集装箱码头有限公司 </w:t>
      </w:r>
    </w:p>
    <w:p w14:paraId="4709372A">
      <w:pPr>
        <w:spacing w:after="163" w:afterLines="50" w:line="420" w:lineRule="exact"/>
        <w:ind w:firstLine="360"/>
        <w:rPr>
          <w:rFonts w:asciiTheme="minorEastAsia" w:hAnsiTheme="minorEastAsia" w:eastAsiaTheme="minorEastAsia"/>
          <w:bCs/>
          <w:color w:val="auto"/>
          <w:kern w:val="44"/>
          <w:szCs w:val="24"/>
          <w:highlight w:val="none"/>
        </w:rPr>
      </w:pPr>
      <w:r>
        <w:rPr>
          <w:rFonts w:hint="eastAsia" w:asciiTheme="minorEastAsia" w:hAnsiTheme="minorEastAsia" w:eastAsiaTheme="minorEastAsia"/>
          <w:bCs/>
          <w:color w:val="auto"/>
          <w:kern w:val="44"/>
          <w:szCs w:val="24"/>
          <w:highlight w:val="none"/>
        </w:rPr>
        <w:t>乙方：</w:t>
      </w:r>
    </w:p>
    <w:p w14:paraId="5E9924C6">
      <w:pPr>
        <w:pStyle w:val="2"/>
        <w:numPr>
          <w:ilvl w:val="0"/>
          <w:numId w:val="2"/>
        </w:numPr>
        <w:spacing w:after="163" w:afterLines="50" w:line="420" w:lineRule="exact"/>
        <w:ind w:left="0"/>
        <w:rPr>
          <w:rFonts w:asciiTheme="minorEastAsia" w:hAnsiTheme="minorEastAsia" w:eastAsiaTheme="minorEastAsia"/>
          <w:color w:val="auto"/>
          <w:sz w:val="24"/>
          <w:szCs w:val="24"/>
          <w:highlight w:val="none"/>
        </w:rPr>
      </w:pPr>
      <w:bookmarkStart w:id="0" w:name="_Toc284314738"/>
      <w:bookmarkStart w:id="1" w:name="_Toc91868749"/>
      <w:bookmarkStart w:id="2" w:name="_Toc272415148"/>
      <w:bookmarkStart w:id="3" w:name="_Toc345335762"/>
      <w:r>
        <w:rPr>
          <w:rFonts w:hint="eastAsia" w:asciiTheme="minorEastAsia" w:hAnsiTheme="minorEastAsia" w:eastAsiaTheme="minorEastAsia"/>
          <w:color w:val="auto"/>
          <w:sz w:val="24"/>
          <w:szCs w:val="24"/>
          <w:highlight w:val="none"/>
        </w:rPr>
        <w:t xml:space="preserve"> 综合说明</w:t>
      </w:r>
      <w:bookmarkEnd w:id="0"/>
      <w:bookmarkEnd w:id="1"/>
      <w:bookmarkEnd w:id="2"/>
      <w:bookmarkEnd w:id="3"/>
    </w:p>
    <w:p w14:paraId="370105DA">
      <w:pPr>
        <w:pStyle w:val="3"/>
        <w:spacing w:after="163" w:afterLines="50" w:line="420" w:lineRule="exact"/>
        <w:ind w:left="0"/>
        <w:rPr>
          <w:rFonts w:asciiTheme="minorEastAsia" w:hAnsiTheme="minorEastAsia" w:eastAsiaTheme="minorEastAsia"/>
          <w:b w:val="0"/>
          <w:bCs/>
          <w:color w:val="auto"/>
          <w:kern w:val="44"/>
          <w:szCs w:val="24"/>
          <w:highlight w:val="none"/>
        </w:rPr>
      </w:pPr>
      <w:bookmarkStart w:id="4" w:name="_Toc91868750"/>
      <w:r>
        <w:rPr>
          <w:rFonts w:hint="eastAsia" w:asciiTheme="minorEastAsia" w:hAnsiTheme="minorEastAsia" w:eastAsiaTheme="minorEastAsia"/>
          <w:b w:val="0"/>
          <w:bCs/>
          <w:color w:val="auto"/>
          <w:kern w:val="44"/>
          <w:szCs w:val="24"/>
          <w:highlight w:val="none"/>
        </w:rPr>
        <w:t>本合同系由甲方广州集装箱码头有限公司（广州经济技术开发区新港路1号）与乙方：</w:t>
      </w:r>
      <w:r>
        <w:rPr>
          <w:rFonts w:hint="eastAsia" w:asciiTheme="minorEastAsia" w:hAnsiTheme="minorEastAsia" w:eastAsiaTheme="minorEastAsia" w:cstheme="minorEastAsia"/>
          <w:b w:val="0"/>
          <w:bCs/>
          <w:color w:val="auto"/>
          <w:szCs w:val="24"/>
          <w:highlight w:val="none"/>
          <w:lang w:val="en-US" w:eastAsia="zh-CN"/>
        </w:rPr>
        <w:t>XX公司</w:t>
      </w:r>
      <w:r>
        <w:rPr>
          <w:rFonts w:hint="eastAsia" w:asciiTheme="minorEastAsia" w:hAnsiTheme="minorEastAsia" w:eastAsiaTheme="minorEastAsia"/>
          <w:b w:val="0"/>
          <w:bCs/>
          <w:color w:val="auto"/>
          <w:kern w:val="44"/>
          <w:szCs w:val="24"/>
          <w:highlight w:val="none"/>
        </w:rPr>
        <w:t>（</w:t>
      </w:r>
      <w:r>
        <w:rPr>
          <w:rFonts w:hint="eastAsia" w:asciiTheme="minorEastAsia" w:hAnsiTheme="minorEastAsia" w:eastAsiaTheme="minorEastAsia"/>
          <w:b w:val="0"/>
          <w:bCs/>
          <w:color w:val="auto"/>
          <w:kern w:val="44"/>
          <w:szCs w:val="24"/>
          <w:highlight w:val="none"/>
          <w:lang w:val="en-US" w:eastAsia="zh-CN"/>
        </w:rPr>
        <w:t>XX公司地址</w:t>
      </w:r>
      <w:r>
        <w:rPr>
          <w:rFonts w:hint="eastAsia" w:asciiTheme="minorEastAsia" w:hAnsiTheme="minorEastAsia" w:eastAsiaTheme="minorEastAsia"/>
          <w:b w:val="0"/>
          <w:bCs/>
          <w:color w:val="auto"/>
          <w:kern w:val="44"/>
          <w:szCs w:val="24"/>
          <w:highlight w:val="none"/>
        </w:rPr>
        <w:t>）签订。</w:t>
      </w:r>
      <w:bookmarkEnd w:id="4"/>
    </w:p>
    <w:p w14:paraId="4E03D5F0">
      <w:pPr>
        <w:pStyle w:val="3"/>
        <w:spacing w:after="163" w:afterLines="50" w:line="420" w:lineRule="exact"/>
        <w:ind w:left="0"/>
        <w:rPr>
          <w:rFonts w:asciiTheme="minorEastAsia" w:hAnsiTheme="minorEastAsia" w:eastAsiaTheme="minorEastAsia"/>
          <w:b w:val="0"/>
          <w:bCs/>
          <w:color w:val="auto"/>
          <w:kern w:val="44"/>
          <w:szCs w:val="24"/>
          <w:highlight w:val="none"/>
        </w:rPr>
      </w:pPr>
      <w:bookmarkStart w:id="5" w:name="_Toc91868751"/>
      <w:r>
        <w:rPr>
          <w:rFonts w:hint="eastAsia" w:asciiTheme="minorEastAsia" w:hAnsiTheme="minorEastAsia" w:eastAsiaTheme="minorEastAsia"/>
          <w:b w:val="0"/>
          <w:bCs/>
          <w:color w:val="auto"/>
          <w:kern w:val="44"/>
          <w:szCs w:val="24"/>
          <w:highlight w:val="none"/>
        </w:rPr>
        <w:t>本合同的订立、生效、解释、变更和争议的裁决以中华人民共和国法律为依据，并适用于法律、法规及相关行政规章、条例及工程所在地的地方法规。</w:t>
      </w:r>
      <w:bookmarkEnd w:id="5"/>
    </w:p>
    <w:p w14:paraId="51786D33">
      <w:pPr>
        <w:pStyle w:val="3"/>
        <w:spacing w:after="163" w:afterLines="50" w:line="420" w:lineRule="exact"/>
        <w:ind w:left="0"/>
        <w:rPr>
          <w:rFonts w:asciiTheme="minorEastAsia" w:hAnsiTheme="minorEastAsia" w:eastAsiaTheme="minorEastAsia"/>
          <w:b w:val="0"/>
          <w:bCs/>
          <w:color w:val="auto"/>
          <w:kern w:val="44"/>
          <w:szCs w:val="24"/>
          <w:highlight w:val="none"/>
        </w:rPr>
      </w:pPr>
      <w:bookmarkStart w:id="6" w:name="_Toc91868752"/>
      <w:r>
        <w:rPr>
          <w:rFonts w:hint="eastAsia" w:asciiTheme="minorEastAsia" w:hAnsiTheme="minorEastAsia" w:eastAsiaTheme="minorEastAsia"/>
          <w:b w:val="0"/>
          <w:bCs/>
          <w:color w:val="auto"/>
          <w:kern w:val="44"/>
          <w:szCs w:val="24"/>
          <w:highlight w:val="none"/>
        </w:rPr>
        <w:t>本合同在双方协商后共同订立。双方均同意按照本合同的约定，承担和履行各自的全部责任和义务，为昭公信，特此立约。</w:t>
      </w:r>
      <w:bookmarkEnd w:id="6"/>
    </w:p>
    <w:p w14:paraId="29F7FF78">
      <w:pPr>
        <w:pStyle w:val="3"/>
        <w:spacing w:after="163" w:afterLines="50" w:line="420" w:lineRule="exact"/>
        <w:ind w:left="0"/>
        <w:rPr>
          <w:rFonts w:asciiTheme="minorEastAsia" w:hAnsiTheme="minorEastAsia" w:eastAsiaTheme="minorEastAsia"/>
          <w:color w:val="auto"/>
          <w:szCs w:val="24"/>
          <w:highlight w:val="none"/>
        </w:rPr>
      </w:pPr>
      <w:bookmarkStart w:id="7" w:name="_Toc91868753"/>
      <w:r>
        <w:rPr>
          <w:rFonts w:hint="eastAsia" w:asciiTheme="minorEastAsia" w:hAnsiTheme="minorEastAsia" w:eastAsiaTheme="minorEastAsia"/>
          <w:b w:val="0"/>
          <w:bCs/>
          <w:color w:val="auto"/>
          <w:kern w:val="44"/>
          <w:szCs w:val="24"/>
          <w:highlight w:val="none"/>
        </w:rPr>
        <w:t>本合同文件的书写或解释以及双方来往的文件均使用中文撰写。</w:t>
      </w:r>
      <w:bookmarkEnd w:id="7"/>
    </w:p>
    <w:p w14:paraId="18EB76C5">
      <w:pPr>
        <w:pStyle w:val="3"/>
        <w:spacing w:after="163" w:afterLines="50" w:line="420" w:lineRule="exact"/>
        <w:ind w:left="0"/>
        <w:rPr>
          <w:rFonts w:asciiTheme="minorEastAsia" w:hAnsiTheme="minorEastAsia" w:eastAsiaTheme="minorEastAsia"/>
          <w:b w:val="0"/>
          <w:bCs/>
          <w:color w:val="auto"/>
          <w:kern w:val="44"/>
          <w:szCs w:val="24"/>
          <w:highlight w:val="none"/>
        </w:rPr>
      </w:pPr>
      <w:bookmarkStart w:id="8" w:name="_Toc91868754"/>
      <w:r>
        <w:rPr>
          <w:rFonts w:hint="eastAsia" w:asciiTheme="minorEastAsia" w:hAnsiTheme="minorEastAsia" w:eastAsiaTheme="minorEastAsia"/>
          <w:b w:val="0"/>
          <w:bCs/>
          <w:color w:val="auto"/>
          <w:kern w:val="44"/>
          <w:szCs w:val="24"/>
          <w:highlight w:val="none"/>
        </w:rPr>
        <w:t>本合同须由双方代表签署并加盖公章</w:t>
      </w:r>
      <w:r>
        <w:rPr>
          <w:rFonts w:hint="eastAsia" w:asciiTheme="minorEastAsia" w:hAnsiTheme="minorEastAsia" w:eastAsiaTheme="minorEastAsia"/>
          <w:b w:val="0"/>
          <w:bCs/>
          <w:color w:val="auto"/>
          <w:kern w:val="44"/>
          <w:szCs w:val="24"/>
          <w:highlight w:val="none"/>
          <w:lang w:val="en-US" w:eastAsia="zh-CN"/>
        </w:rPr>
        <w:t>或合同专用章</w:t>
      </w:r>
      <w:r>
        <w:rPr>
          <w:rFonts w:hint="eastAsia" w:asciiTheme="minorEastAsia" w:hAnsiTheme="minorEastAsia" w:eastAsiaTheme="minorEastAsia"/>
          <w:b w:val="0"/>
          <w:bCs/>
          <w:color w:val="auto"/>
          <w:kern w:val="44"/>
          <w:szCs w:val="24"/>
          <w:highlight w:val="none"/>
        </w:rPr>
        <w:t>后生效</w:t>
      </w:r>
      <w:bookmarkEnd w:id="8"/>
      <w:r>
        <w:rPr>
          <w:rFonts w:hint="eastAsia" w:asciiTheme="minorEastAsia" w:hAnsiTheme="minorEastAsia" w:eastAsiaTheme="minorEastAsia"/>
          <w:b w:val="0"/>
          <w:bCs/>
          <w:color w:val="auto"/>
          <w:kern w:val="44"/>
          <w:szCs w:val="24"/>
          <w:highlight w:val="none"/>
        </w:rPr>
        <w:t>。</w:t>
      </w:r>
    </w:p>
    <w:p w14:paraId="49A31EA9">
      <w:pPr>
        <w:pStyle w:val="2"/>
        <w:spacing w:after="163" w:afterLines="50" w:line="420" w:lineRule="exact"/>
        <w:ind w:left="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 合同范围</w:t>
      </w:r>
    </w:p>
    <w:p w14:paraId="4553FF47">
      <w:pPr>
        <w:pStyle w:val="3"/>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本合同范围是由乙方按照甲方所提供的项目、要求和有关资料及说明为甲方提供消防设备设施的检查、维护和保养，包括但不限于室内、室外99个消防栓；各种类型消防灭火器材约780个；601场危险货物堆场喷淋降温设施；办公楼信息部区域自动报警系统；同时还有烟感自动报警系统、消防水枪水带、应急照明灯、防毒面具、空气呼吸器、作业人员防护服等多种类型的消防设备设施若干；如甲方新增加消防设施设备，甲方应以书面形式告知乙方，乙方同意免费将新增加消防设施设备列入维保范围。（具体清单见附件1）</w:t>
      </w:r>
    </w:p>
    <w:p w14:paraId="3D1D7CC1">
      <w:pPr>
        <w:pStyle w:val="3"/>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维保项目的详细技术要求</w:t>
      </w:r>
    </w:p>
    <w:p w14:paraId="6039581C">
      <w:pPr>
        <w:pStyle w:val="27"/>
        <w:keepNext w:val="0"/>
        <w:keepLines w:val="0"/>
        <w:pageBreakBefore w:val="0"/>
        <w:widowControl/>
        <w:numPr>
          <w:ilvl w:val="0"/>
          <w:numId w:val="3"/>
        </w:numPr>
        <w:shd w:val="clear" w:color="auto" w:fill="FFFFFF"/>
        <w:kinsoku/>
        <w:wordWrap/>
        <w:overflowPunct/>
        <w:topLinePunct w:val="0"/>
        <w:autoSpaceDE/>
        <w:autoSpaceDN/>
        <w:bidi w:val="0"/>
        <w:adjustRightInd w:val="0"/>
        <w:snapToGrid w:val="0"/>
        <w:spacing w:after="120" w:line="420" w:lineRule="exact"/>
        <w:ind w:left="839" w:hanging="420"/>
        <w:jc w:val="left"/>
        <w:textAlignment w:val="auto"/>
        <w:rPr>
          <w:rFonts w:hint="eastAsia" w:ascii="宋体" w:hAnsi="宋体" w:eastAsia="宋体" w:cs="宋体"/>
          <w:color w:val="auto"/>
        </w:rPr>
      </w:pPr>
      <w:bookmarkStart w:id="9" w:name="_Toc148993620"/>
      <w:bookmarkStart w:id="10" w:name="_Toc272415150"/>
      <w:bookmarkStart w:id="11" w:name="_Toc284314740"/>
      <w:bookmarkStart w:id="12" w:name="_Toc345335764"/>
      <w:r>
        <w:rPr>
          <w:rFonts w:hint="eastAsia" w:ascii="宋体" w:hAnsi="宋体" w:eastAsia="宋体" w:cs="宋体"/>
          <w:color w:val="auto"/>
        </w:rPr>
        <w:t>消防栓系统</w:t>
      </w:r>
    </w:p>
    <w:p w14:paraId="20DD37A4">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1次对本系统中各种功能阀门检查是否开关灵活、有效，阀门关闭不严或不能灵活使用的应及时修理，对阀门的接触面发现有缺陷的，需进行研磨工作，无法修复的予以更换；定期对阀门转动部位和螺栓加黄油润滑。</w:t>
      </w:r>
    </w:p>
    <w:p w14:paraId="59E92627">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1次检查消防栓箱配置是否完整齐全，包括检查每个消防栓口的静压是否符合设计或规范要求，（要求报价时提供规范和要求的具体数据，每次维保结束后提供实测数据以及其他检查的全面检查报告）检查栓口橡胶是否老化、龟裂或脱落，检查水带是否霉烂、穿孔，检查卷盘胶管是否老化、龟裂。</w:t>
      </w:r>
    </w:p>
    <w:p w14:paraId="2A909756">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定期每月1次检查保养消防栓系统的水泵接合器，确保完整、不渗漏；</w:t>
      </w:r>
    </w:p>
    <w:p w14:paraId="0C7E8750">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定期每月1次试验消防栓，检查其喷水充实水柱是否达到规范或设计要求；</w:t>
      </w:r>
    </w:p>
    <w:p w14:paraId="22DE8A58">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val="en-US" w:eastAsia="zh-CN"/>
        </w:rPr>
        <w:t>重大危险源区域，如电站、变电站、601危险货物堆场、油站每月需做2次消防检查，并做出记录；</w:t>
      </w:r>
    </w:p>
    <w:p w14:paraId="5752A9AF">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 xml:space="preserve">定期每半年1次对消防栓系统管网进行全面检查。 </w:t>
      </w:r>
    </w:p>
    <w:p w14:paraId="73382E1A">
      <w:pPr>
        <w:pStyle w:val="27"/>
        <w:keepNext w:val="0"/>
        <w:keepLines w:val="0"/>
        <w:pageBreakBefore w:val="0"/>
        <w:widowControl/>
        <w:numPr>
          <w:ilvl w:val="0"/>
          <w:numId w:val="3"/>
        </w:numPr>
        <w:shd w:val="clear" w:color="auto" w:fill="FFFFFF"/>
        <w:kinsoku/>
        <w:wordWrap/>
        <w:overflowPunct/>
        <w:topLinePunct w:val="0"/>
        <w:autoSpaceDE/>
        <w:autoSpaceDN/>
        <w:bidi w:val="0"/>
        <w:adjustRightInd w:val="0"/>
        <w:snapToGrid w:val="0"/>
        <w:spacing w:after="120" w:line="420" w:lineRule="exact"/>
        <w:ind w:left="839" w:hanging="420"/>
        <w:jc w:val="left"/>
        <w:textAlignment w:val="auto"/>
        <w:rPr>
          <w:rFonts w:hint="eastAsia" w:ascii="宋体" w:hAnsi="宋体" w:eastAsia="宋体" w:cs="宋体"/>
          <w:color w:val="auto"/>
        </w:rPr>
      </w:pPr>
      <w:r>
        <w:rPr>
          <w:rFonts w:hint="eastAsia" w:ascii="宋体" w:hAnsi="宋体" w:eastAsia="宋体" w:cs="宋体"/>
          <w:color w:val="auto"/>
        </w:rPr>
        <w:t>应急疏散系统</w:t>
      </w:r>
    </w:p>
    <w:p w14:paraId="089D2900">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定期每月1次检查应急灯、出口指示牌、疏散指示牌的外观是否完好，灯泡（管）有无烧毁，充放电试验是否正常；</w:t>
      </w:r>
    </w:p>
    <w:p w14:paraId="51021852">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val="en-US" w:eastAsia="zh-CN"/>
        </w:rPr>
        <w:t>重大危险源区域，如电站、变电站、601危险货物堆场、油站每月需做2次消防检查，并做出记录；</w:t>
      </w:r>
    </w:p>
    <w:p w14:paraId="71EBE37C">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每半年测试应急灯的蓄电量是否达到规范要求。</w:t>
      </w:r>
    </w:p>
    <w:p w14:paraId="07C147CD">
      <w:pPr>
        <w:pStyle w:val="27"/>
        <w:keepNext w:val="0"/>
        <w:keepLines w:val="0"/>
        <w:pageBreakBefore w:val="0"/>
        <w:widowControl/>
        <w:numPr>
          <w:ilvl w:val="0"/>
          <w:numId w:val="3"/>
        </w:numPr>
        <w:shd w:val="clear" w:color="auto" w:fill="FFFFFF"/>
        <w:kinsoku/>
        <w:wordWrap/>
        <w:overflowPunct/>
        <w:topLinePunct w:val="0"/>
        <w:autoSpaceDE/>
        <w:autoSpaceDN/>
        <w:bidi w:val="0"/>
        <w:adjustRightInd w:val="0"/>
        <w:snapToGrid w:val="0"/>
        <w:spacing w:after="120" w:line="420" w:lineRule="exact"/>
        <w:ind w:left="839" w:hanging="420"/>
        <w:jc w:val="left"/>
        <w:textAlignment w:val="auto"/>
        <w:rPr>
          <w:rFonts w:hint="eastAsia" w:ascii="宋体" w:hAnsi="宋体" w:eastAsia="宋体" w:cs="宋体"/>
          <w:color w:val="auto"/>
        </w:rPr>
      </w:pPr>
      <w:r>
        <w:rPr>
          <w:rFonts w:hint="eastAsia" w:ascii="宋体" w:hAnsi="宋体" w:eastAsia="宋体" w:cs="宋体"/>
          <w:color w:val="auto"/>
        </w:rPr>
        <w:t>移动式灭火器</w:t>
      </w:r>
    </w:p>
    <w:p w14:paraId="4A954ECB">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检查移动式灭火器（手提式、推车式）压力指针是否在绿区；</w:t>
      </w:r>
    </w:p>
    <w:p w14:paraId="3F8508DE">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检查移动式灭火器外观是否完好，有无变形、脱漆或配件缺失；</w:t>
      </w:r>
    </w:p>
    <w:p w14:paraId="1BD63C66">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检查移动式灭火器药剂贮瓶有无过期失效，并负责更换已过期的灭火器，器材由甲方提供。</w:t>
      </w:r>
    </w:p>
    <w:p w14:paraId="6642FC58">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每月定期检查1次</w:t>
      </w:r>
      <w:r>
        <w:rPr>
          <w:rFonts w:hint="eastAsia" w:ascii="宋体" w:hAnsi="宋体" w:eastAsia="宋体" w:cs="宋体"/>
          <w:color w:val="auto"/>
          <w:shd w:val="clear" w:color="auto" w:fill="FFFFFF"/>
          <w:lang w:eastAsia="zh-CN"/>
        </w:rPr>
        <w:t>；</w:t>
      </w:r>
      <w:r>
        <w:rPr>
          <w:rFonts w:hint="eastAsia" w:ascii="宋体" w:hAnsi="宋体" w:eastAsia="宋体" w:cs="宋体"/>
          <w:color w:val="auto"/>
          <w:shd w:val="clear" w:color="auto" w:fill="FFFFFF"/>
          <w:lang w:val="en-US" w:eastAsia="zh-CN"/>
        </w:rPr>
        <w:t>而重大危险源区域，如电站、变电站、601危险货物堆场、油站每月需做2次消防检查，并做出记录；</w:t>
      </w:r>
    </w:p>
    <w:p w14:paraId="58C33BD3">
      <w:pPr>
        <w:pStyle w:val="27"/>
        <w:keepNext w:val="0"/>
        <w:keepLines w:val="0"/>
        <w:pageBreakBefore w:val="0"/>
        <w:widowControl/>
        <w:numPr>
          <w:ilvl w:val="0"/>
          <w:numId w:val="3"/>
        </w:numPr>
        <w:shd w:val="clear" w:color="auto" w:fill="FFFFFF"/>
        <w:kinsoku/>
        <w:wordWrap/>
        <w:overflowPunct/>
        <w:topLinePunct w:val="0"/>
        <w:autoSpaceDE/>
        <w:autoSpaceDN/>
        <w:bidi w:val="0"/>
        <w:adjustRightInd w:val="0"/>
        <w:snapToGrid w:val="0"/>
        <w:spacing w:after="120" w:line="420" w:lineRule="exact"/>
        <w:ind w:left="839" w:hanging="420"/>
        <w:jc w:val="left"/>
        <w:textAlignment w:val="auto"/>
        <w:rPr>
          <w:rFonts w:hint="eastAsia" w:ascii="宋体" w:hAnsi="宋体" w:eastAsia="宋体" w:cs="宋体"/>
          <w:color w:val="auto"/>
        </w:rPr>
      </w:pPr>
      <w:r>
        <w:rPr>
          <w:rFonts w:hint="eastAsia" w:ascii="宋体" w:hAnsi="宋体" w:eastAsia="宋体" w:cs="宋体"/>
          <w:color w:val="auto"/>
        </w:rPr>
        <w:t>危险品堆场喷淋降温设施</w:t>
      </w:r>
    </w:p>
    <w:p w14:paraId="0281BD77">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定期检查消火栓水泵及其控制柜及消火栓的运作状态，并做好管网压力读数记录。</w:t>
      </w:r>
    </w:p>
    <w:p w14:paraId="03480763">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定期检查水泵电线和保险丝、紧固螺丝、轴承、轴套、出口压力表等状况。</w:t>
      </w:r>
    </w:p>
    <w:p w14:paraId="157EFDD4">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定期每年对消防水泵例行保养一次，并对有关设备添加润滑剂，保证设备的正常运作。</w:t>
      </w:r>
    </w:p>
    <w:p w14:paraId="34E3F2B0">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定期检查危险品堆场喷淋降温设施及排水管路和阀门有无渗漏，定期每季对阀门转动部位螺栓加黄油。</w:t>
      </w:r>
    </w:p>
    <w:p w14:paraId="09FFF700">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以上检查项目5-10月每月检查1次,其余月份每月检查2次。</w:t>
      </w:r>
    </w:p>
    <w:p w14:paraId="60CB440E">
      <w:pPr>
        <w:pStyle w:val="27"/>
        <w:keepNext w:val="0"/>
        <w:keepLines w:val="0"/>
        <w:pageBreakBefore w:val="0"/>
        <w:widowControl/>
        <w:numPr>
          <w:ilvl w:val="0"/>
          <w:numId w:val="3"/>
        </w:numPr>
        <w:shd w:val="clear" w:color="auto" w:fill="FFFFFF"/>
        <w:kinsoku/>
        <w:wordWrap/>
        <w:overflowPunct/>
        <w:topLinePunct w:val="0"/>
        <w:autoSpaceDE/>
        <w:autoSpaceDN/>
        <w:bidi w:val="0"/>
        <w:adjustRightInd w:val="0"/>
        <w:snapToGrid w:val="0"/>
        <w:spacing w:after="120" w:line="420" w:lineRule="exact"/>
        <w:ind w:left="839" w:hanging="420"/>
        <w:jc w:val="left"/>
        <w:textAlignment w:val="auto"/>
        <w:rPr>
          <w:rFonts w:hint="eastAsia" w:ascii="宋体" w:hAnsi="宋体" w:eastAsia="宋体" w:cs="宋体"/>
          <w:color w:val="auto"/>
        </w:rPr>
      </w:pPr>
      <w:r>
        <w:rPr>
          <w:rFonts w:hint="eastAsia" w:ascii="宋体" w:hAnsi="宋体" w:eastAsia="宋体" w:cs="宋体"/>
          <w:color w:val="auto"/>
        </w:rPr>
        <w:t>办公楼信息部烟感报警装置</w:t>
      </w:r>
    </w:p>
    <w:p w14:paraId="6EC5F924">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定期每月1次检查清洁烟感报警装置</w:t>
      </w:r>
    </w:p>
    <w:p w14:paraId="5AA64AE9">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定期每月1次检查其他附属设施。</w:t>
      </w:r>
    </w:p>
    <w:p w14:paraId="26E3055B">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定期每月1次对办公楼、救援器材进行卫生保洁并目测检查，确认器材、设施在位和完整。</w:t>
      </w:r>
    </w:p>
    <w:p w14:paraId="360D3EA7">
      <w:pPr>
        <w:pStyle w:val="27"/>
        <w:keepNext w:val="0"/>
        <w:keepLines w:val="0"/>
        <w:pageBreakBefore w:val="0"/>
        <w:widowControl/>
        <w:numPr>
          <w:ilvl w:val="0"/>
          <w:numId w:val="3"/>
        </w:numPr>
        <w:shd w:val="clear" w:color="auto" w:fill="FFFFFF"/>
        <w:kinsoku/>
        <w:wordWrap/>
        <w:overflowPunct/>
        <w:topLinePunct w:val="0"/>
        <w:autoSpaceDE/>
        <w:autoSpaceDN/>
        <w:bidi w:val="0"/>
        <w:adjustRightInd w:val="0"/>
        <w:snapToGrid w:val="0"/>
        <w:spacing w:after="120" w:line="420" w:lineRule="exact"/>
        <w:ind w:left="839" w:hanging="420"/>
        <w:jc w:val="left"/>
        <w:textAlignment w:val="auto"/>
        <w:rPr>
          <w:rFonts w:hint="eastAsia" w:ascii="宋体" w:hAnsi="宋体" w:eastAsia="宋体" w:cs="宋体"/>
          <w:color w:val="auto"/>
        </w:rPr>
      </w:pPr>
      <w:r>
        <w:rPr>
          <w:rFonts w:hint="eastAsia" w:ascii="宋体" w:hAnsi="宋体" w:eastAsia="宋体" w:cs="宋体"/>
          <w:color w:val="auto"/>
          <w:lang w:val="en-US" w:eastAsia="zh-CN"/>
        </w:rPr>
        <w:t>602场消防水泵房系统及水箱</w:t>
      </w:r>
    </w:p>
    <w:p w14:paraId="0132018C">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定期每月1次检查</w:t>
      </w:r>
      <w:r>
        <w:rPr>
          <w:rFonts w:hint="eastAsia" w:ascii="宋体" w:hAnsi="宋体" w:eastAsia="宋体" w:cs="宋体"/>
          <w:color w:val="auto"/>
          <w:lang w:val="en-US" w:eastAsia="zh-CN"/>
        </w:rPr>
        <w:t>消防水泵房系统</w:t>
      </w:r>
    </w:p>
    <w:p w14:paraId="43DA4166">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定期每月</w:t>
      </w:r>
      <w:r>
        <w:rPr>
          <w:rFonts w:hint="eastAsia" w:ascii="宋体" w:hAnsi="宋体" w:eastAsia="宋体" w:cs="宋体"/>
          <w:color w:val="auto"/>
          <w:shd w:val="clear" w:color="auto" w:fill="FFFFFF"/>
          <w:lang w:val="en-US" w:eastAsia="zh-CN"/>
        </w:rPr>
        <w:t>2</w:t>
      </w:r>
      <w:r>
        <w:rPr>
          <w:rFonts w:hint="eastAsia" w:ascii="宋体" w:hAnsi="宋体" w:eastAsia="宋体" w:cs="宋体"/>
          <w:color w:val="auto"/>
          <w:shd w:val="clear" w:color="auto" w:fill="FFFFFF"/>
        </w:rPr>
        <w:t>次检查其他附属设施。</w:t>
      </w:r>
    </w:p>
    <w:p w14:paraId="2DE22AF3">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lang w:val="en-US"/>
        </w:rPr>
      </w:pPr>
      <w:r>
        <w:rPr>
          <w:rFonts w:hint="eastAsia" w:ascii="宋体" w:hAnsi="宋体" w:eastAsia="宋体" w:cs="宋体"/>
          <w:color w:val="auto"/>
          <w:shd w:val="clear" w:color="auto" w:fill="FFFFFF"/>
        </w:rPr>
        <w:t>定期每月</w:t>
      </w:r>
      <w:r>
        <w:rPr>
          <w:rFonts w:hint="eastAsia" w:ascii="宋体" w:hAnsi="宋体" w:eastAsia="宋体" w:cs="宋体"/>
          <w:color w:val="auto"/>
          <w:shd w:val="clear" w:color="auto" w:fill="FFFFFF"/>
          <w:lang w:val="en-US" w:eastAsia="zh-CN"/>
        </w:rPr>
        <w:t>2</w:t>
      </w:r>
      <w:r>
        <w:rPr>
          <w:rFonts w:hint="eastAsia" w:ascii="宋体" w:hAnsi="宋体" w:eastAsia="宋体" w:cs="宋体"/>
          <w:color w:val="auto"/>
          <w:shd w:val="clear" w:color="auto" w:fill="FFFFFF"/>
        </w:rPr>
        <w:t>次对</w:t>
      </w:r>
      <w:r>
        <w:rPr>
          <w:rFonts w:hint="eastAsia" w:ascii="宋体" w:hAnsi="宋体" w:eastAsia="宋体" w:cs="宋体"/>
          <w:color w:val="auto"/>
          <w:shd w:val="clear" w:color="auto" w:fill="FFFFFF"/>
          <w:lang w:val="en-US" w:eastAsia="zh-CN"/>
        </w:rPr>
        <w:t>配套的</w:t>
      </w:r>
      <w:r>
        <w:rPr>
          <w:rFonts w:hint="eastAsia" w:ascii="宋体" w:hAnsi="宋体" w:eastAsia="宋体" w:cs="宋体"/>
          <w:color w:val="auto"/>
          <w:shd w:val="clear" w:color="auto" w:fill="FFFFFF"/>
        </w:rPr>
        <w:t>消防</w:t>
      </w:r>
      <w:r>
        <w:rPr>
          <w:rFonts w:hint="eastAsia" w:ascii="宋体" w:hAnsi="宋体" w:eastAsia="宋体" w:cs="宋体"/>
          <w:color w:val="auto"/>
          <w:shd w:val="clear" w:color="auto" w:fill="FFFFFF"/>
          <w:lang w:val="en-US" w:eastAsia="zh-CN"/>
        </w:rPr>
        <w:t>子系统进行</w:t>
      </w:r>
      <w:r>
        <w:rPr>
          <w:rFonts w:hint="eastAsia" w:ascii="宋体" w:hAnsi="宋体" w:eastAsia="宋体" w:cs="宋体"/>
          <w:color w:val="auto"/>
          <w:shd w:val="clear" w:color="auto" w:fill="FFFFFF"/>
        </w:rPr>
        <w:t>巡回检测，确认设施</w:t>
      </w:r>
      <w:r>
        <w:rPr>
          <w:rFonts w:hint="eastAsia" w:ascii="宋体" w:hAnsi="宋体" w:eastAsia="宋体" w:cs="宋体"/>
          <w:color w:val="auto"/>
          <w:shd w:val="clear" w:color="auto" w:fill="FFFFFF"/>
          <w:lang w:val="en-US" w:eastAsia="zh-CN"/>
        </w:rPr>
        <w:t>正常有效</w:t>
      </w:r>
      <w:r>
        <w:rPr>
          <w:rFonts w:hint="eastAsia" w:ascii="宋体" w:hAnsi="宋体" w:eastAsia="宋体" w:cs="宋体"/>
          <w:color w:val="auto"/>
          <w:shd w:val="clear" w:color="auto" w:fill="FFFFFF"/>
        </w:rPr>
        <w:t>。</w:t>
      </w:r>
    </w:p>
    <w:p w14:paraId="2868A2F4">
      <w:pPr>
        <w:pStyle w:val="27"/>
        <w:keepNext w:val="0"/>
        <w:keepLines w:val="0"/>
        <w:pageBreakBefore w:val="0"/>
        <w:widowControl/>
        <w:numPr>
          <w:ilvl w:val="0"/>
          <w:numId w:val="3"/>
        </w:numPr>
        <w:shd w:val="clear" w:color="auto" w:fill="FFFFFF"/>
        <w:kinsoku/>
        <w:wordWrap/>
        <w:overflowPunct/>
        <w:topLinePunct w:val="0"/>
        <w:autoSpaceDE/>
        <w:autoSpaceDN/>
        <w:bidi w:val="0"/>
        <w:adjustRightInd w:val="0"/>
        <w:snapToGrid w:val="0"/>
        <w:spacing w:after="120" w:line="420" w:lineRule="exact"/>
        <w:ind w:left="839" w:hanging="420"/>
        <w:jc w:val="left"/>
        <w:textAlignment w:val="auto"/>
        <w:rPr>
          <w:rFonts w:hint="eastAsia" w:ascii="宋体" w:hAnsi="宋体" w:eastAsia="宋体" w:cs="宋体"/>
          <w:color w:val="auto"/>
        </w:rPr>
      </w:pPr>
      <w:r>
        <w:rPr>
          <w:rFonts w:hint="eastAsia" w:ascii="宋体" w:hAnsi="宋体" w:eastAsia="宋体" w:cs="宋体"/>
          <w:color w:val="auto"/>
        </w:rPr>
        <w:t>其它维护保养要求：</w:t>
      </w:r>
    </w:p>
    <w:p w14:paraId="4FBEEE16">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每月定期对各消防子系统巡回检测一次；</w:t>
      </w:r>
    </w:p>
    <w:p w14:paraId="7A9DCD5A">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val="en-US" w:eastAsia="zh-CN"/>
        </w:rPr>
        <w:t>重大危险源区域，如电站、变电站、601危险货物堆场、油站每月需多补充一次消防检查，并做出记录；</w:t>
      </w:r>
    </w:p>
    <w:p w14:paraId="008A169B">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消防系统发生突发性故障时，接报必须在6小时内赶到现场处理并为用户排除故障；</w:t>
      </w:r>
    </w:p>
    <w:p w14:paraId="3151FDF5">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每次系统维修完后要填写消防工程维修服务单，并由甲方确认后，双方相关人员签字备档（一式三份）；</w:t>
      </w:r>
    </w:p>
    <w:p w14:paraId="44DD3A5D">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提供应急抢修服务，任何时候码头出现急需解决的故障，应该及时赶到现场处理问题；</w:t>
      </w:r>
    </w:p>
    <w:p w14:paraId="19732ECB">
      <w:pPr>
        <w:pStyle w:val="27"/>
        <w:keepNext w:val="0"/>
        <w:keepLines w:val="0"/>
        <w:pageBreakBefore w:val="0"/>
        <w:widowControl/>
        <w:numPr>
          <w:ilvl w:val="0"/>
          <w:numId w:val="4"/>
        </w:numPr>
        <w:shd w:val="clear" w:color="auto"/>
        <w:kinsoku/>
        <w:wordWrap/>
        <w:overflowPunct/>
        <w:topLinePunct w:val="0"/>
        <w:autoSpaceDE/>
        <w:autoSpaceDN/>
        <w:bidi w:val="0"/>
        <w:adjustRightInd w:val="0"/>
        <w:snapToGrid w:val="0"/>
        <w:spacing w:after="120" w:line="420" w:lineRule="exact"/>
        <w:ind w:left="839" w:hanging="420"/>
        <w:jc w:val="left"/>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配合甲方消防系统更改后的系统连接和测试，但甲方较大的改造工程引起的软件更改、系统连接和测试可另行收费。</w:t>
      </w:r>
    </w:p>
    <w:p w14:paraId="1B1A759C">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维保项目承接单位应每月定期对码头进行消防维保工作，并向码头提供一份有资质的技术人员签名认可的检查、保养记录；</w:t>
      </w:r>
    </w:p>
    <w:p w14:paraId="4ADD0606">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维保项目承接单位需根据实际情况在每年的6月和12月分别出具一份半年和全年的码头消防设备设施安全评估报告。</w:t>
      </w:r>
    </w:p>
    <w:p w14:paraId="6D3A32BD">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维保项目承接单位必须在合同期内对甲方所委托维护的消防设施进行年度检测，每年的年度检测后，乙方需向甲方提供符合国家消防管理部门规定及要求的年度消防设施检测书面报告一式两份。</w:t>
      </w:r>
    </w:p>
    <w:p w14:paraId="2AEC48F9">
      <w:pPr>
        <w:pStyle w:val="27"/>
        <w:keepNext w:val="0"/>
        <w:keepLines w:val="0"/>
        <w:pageBreakBefore w:val="0"/>
        <w:numPr>
          <w:ilvl w:val="0"/>
          <w:numId w:val="4"/>
        </w:numPr>
        <w:kinsoku/>
        <w:wordWrap/>
        <w:overflowPunct/>
        <w:topLinePunct w:val="0"/>
        <w:autoSpaceDE/>
        <w:autoSpaceDN/>
        <w:bidi w:val="0"/>
        <w:adjustRightInd w:val="0"/>
        <w:snapToGrid w:val="0"/>
        <w:spacing w:after="120" w:line="420" w:lineRule="exact"/>
        <w:ind w:left="839" w:hanging="420"/>
        <w:textAlignment w:val="auto"/>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经双方协商一致，乙方负责相关器材的回收处理工作</w:t>
      </w:r>
      <w:r>
        <w:rPr>
          <w:rFonts w:hint="eastAsia" w:ascii="宋体" w:hAnsi="宋体" w:eastAsia="宋体" w:cs="宋体"/>
          <w:color w:val="auto"/>
          <w:shd w:val="clear" w:color="auto" w:fill="FFFFFF"/>
          <w:lang w:eastAsia="zh-CN"/>
        </w:rPr>
        <w:t>。</w:t>
      </w:r>
    </w:p>
    <w:p w14:paraId="631B4C33">
      <w:pPr>
        <w:pStyle w:val="2"/>
        <w:keepNext w:val="0"/>
        <w:spacing w:after="163" w:afterLines="50" w:line="420" w:lineRule="exact"/>
        <w:ind w:left="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履约保证金</w:t>
      </w:r>
      <w:bookmarkEnd w:id="9"/>
      <w:bookmarkEnd w:id="10"/>
      <w:bookmarkEnd w:id="11"/>
      <w:bookmarkEnd w:id="12"/>
    </w:p>
    <w:p w14:paraId="631D84F1">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在收到合作通知书后三十天内，乙方需向甲方提供合同总价5%的履约保证金。采用银行转帐的形式提供履约保证金。</w:t>
      </w:r>
    </w:p>
    <w:p w14:paraId="4BC3163D">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 xml:space="preserve">履约保证金需为甲方接受。 </w:t>
      </w:r>
    </w:p>
    <w:p w14:paraId="66D56AF1">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履约保证金必须以甲方为受益人，以便当乙方无法履行合同规定时可用于赔偿甲方的损失。</w:t>
      </w:r>
    </w:p>
    <w:p w14:paraId="29E8574A">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因乙方违反本合同条款而使甲方受到损害时，甲方将不予以退还乙方的履约保证金。</w:t>
      </w:r>
    </w:p>
    <w:p w14:paraId="6FEF5988">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如乙方无违约，在本合同期满的一个月内，甲方将原额退还履约保证金。乙方须交回甲方开出的项目履约保证金有效书面凭据。</w:t>
      </w:r>
    </w:p>
    <w:p w14:paraId="0EF00581">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履约保证金必须从甲方发出合作通知书后生效，适用于乙方在合同范围内的所有债务、责任、义务、服从合同规定条款、维保维护服务条件等。</w:t>
      </w:r>
    </w:p>
    <w:p w14:paraId="0F3EA940">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若付款方案与甲方规定的不同，提供履约保证金的要求保持一致原则。</w:t>
      </w:r>
    </w:p>
    <w:p w14:paraId="3356DD3F">
      <w:pPr>
        <w:pStyle w:val="2"/>
        <w:keepNext w:val="0"/>
        <w:spacing w:after="163" w:afterLines="50" w:line="420" w:lineRule="exact"/>
        <w:ind w:left="0"/>
        <w:rPr>
          <w:rFonts w:hint="eastAsia" w:asciiTheme="minorEastAsia" w:hAnsiTheme="minorEastAsia" w:eastAsiaTheme="minorEastAsia"/>
          <w:b w:val="0"/>
          <w:bCs/>
          <w:color w:val="auto"/>
          <w:kern w:val="44"/>
          <w:szCs w:val="24"/>
          <w:highlight w:val="none"/>
        </w:rPr>
      </w:pPr>
      <w:bookmarkStart w:id="13" w:name="_Toc345335765"/>
      <w:bookmarkStart w:id="14" w:name="_Toc284314741"/>
      <w:bookmarkStart w:id="15" w:name="_Toc272415151"/>
      <w:bookmarkStart w:id="16" w:name="_Toc91868763"/>
      <w:r>
        <w:rPr>
          <w:rFonts w:hint="eastAsia" w:asciiTheme="minorEastAsia" w:hAnsiTheme="minorEastAsia" w:eastAsiaTheme="minorEastAsia"/>
          <w:color w:val="auto"/>
          <w:sz w:val="24"/>
          <w:szCs w:val="24"/>
          <w:highlight w:val="none"/>
        </w:rPr>
        <w:t>合同价格</w:t>
      </w:r>
      <w:bookmarkEnd w:id="13"/>
      <w:bookmarkEnd w:id="14"/>
      <w:bookmarkEnd w:id="15"/>
      <w:bookmarkEnd w:id="16"/>
    </w:p>
    <w:p w14:paraId="6074BA5C">
      <w:pPr>
        <w:pStyle w:val="3"/>
        <w:keepNext w:val="0"/>
        <w:spacing w:after="163" w:afterLines="50" w:line="420" w:lineRule="exact"/>
        <w:ind w:left="0"/>
        <w:rPr>
          <w:rFonts w:hint="eastAsia"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本合同范围内的项目总费用：年度含税总价为</w:t>
      </w:r>
      <w:r>
        <w:rPr>
          <w:rFonts w:hint="eastAsia" w:asciiTheme="minorEastAsia" w:hAnsiTheme="minorEastAsia" w:eastAsiaTheme="minorEastAsia"/>
          <w:b w:val="0"/>
          <w:bCs/>
          <w:color w:val="auto"/>
          <w:kern w:val="44"/>
          <w:szCs w:val="24"/>
          <w:highlight w:val="none"/>
          <w:lang w:val="en-US" w:eastAsia="zh-CN"/>
        </w:rPr>
        <w:t>XX</w:t>
      </w:r>
      <w:r>
        <w:rPr>
          <w:rFonts w:hint="eastAsia" w:asciiTheme="minorEastAsia" w:hAnsiTheme="minorEastAsia" w:eastAsiaTheme="minorEastAsia"/>
          <w:b w:val="0"/>
          <w:bCs/>
          <w:color w:val="auto"/>
          <w:kern w:val="44"/>
          <w:szCs w:val="24"/>
          <w:highlight w:val="none"/>
        </w:rPr>
        <w:t>元（</w:t>
      </w:r>
      <w:r>
        <w:rPr>
          <w:rFonts w:hint="eastAsia" w:asciiTheme="minorEastAsia" w:hAnsiTheme="minorEastAsia" w:eastAsiaTheme="minorEastAsia"/>
          <w:b w:val="0"/>
          <w:bCs/>
          <w:color w:val="auto"/>
          <w:kern w:val="44"/>
          <w:szCs w:val="24"/>
          <w:highlight w:val="none"/>
          <w:lang w:val="en-US" w:eastAsia="zh-CN"/>
        </w:rPr>
        <w:t>XX</w:t>
      </w:r>
      <w:r>
        <w:rPr>
          <w:rFonts w:hint="eastAsia" w:asciiTheme="minorEastAsia" w:hAnsiTheme="minorEastAsia" w:eastAsiaTheme="minorEastAsia"/>
          <w:b w:val="0"/>
          <w:bCs/>
          <w:color w:val="auto"/>
          <w:kern w:val="44"/>
          <w:szCs w:val="24"/>
          <w:highlight w:val="none"/>
        </w:rPr>
        <w:t xml:space="preserve">元整）, </w:t>
      </w:r>
      <w:bookmarkStart w:id="17" w:name="_Hlk109824015"/>
      <w:r>
        <w:rPr>
          <w:rFonts w:hint="eastAsia" w:asciiTheme="minorEastAsia" w:hAnsiTheme="minorEastAsia" w:eastAsiaTheme="minorEastAsia"/>
          <w:b w:val="0"/>
          <w:bCs/>
          <w:color w:val="auto"/>
          <w:kern w:val="44"/>
          <w:szCs w:val="24"/>
          <w:highlight w:val="none"/>
        </w:rPr>
        <w:t>不含增值税价为</w:t>
      </w:r>
      <w:r>
        <w:rPr>
          <w:rFonts w:hint="eastAsia" w:asciiTheme="minorEastAsia" w:hAnsiTheme="minorEastAsia" w:eastAsiaTheme="minorEastAsia"/>
          <w:b w:val="0"/>
          <w:bCs/>
          <w:color w:val="auto"/>
          <w:kern w:val="44"/>
          <w:szCs w:val="24"/>
          <w:highlight w:val="none"/>
          <w:lang w:val="en-US" w:eastAsia="zh-CN"/>
        </w:rPr>
        <w:t>XX</w:t>
      </w:r>
      <w:r>
        <w:rPr>
          <w:rFonts w:hint="eastAsia" w:asciiTheme="minorEastAsia" w:hAnsiTheme="minorEastAsia" w:eastAsiaTheme="minorEastAsia"/>
          <w:b w:val="0"/>
          <w:bCs/>
          <w:color w:val="auto"/>
          <w:kern w:val="44"/>
          <w:szCs w:val="24"/>
          <w:highlight w:val="none"/>
        </w:rPr>
        <w:t>元，增值税税额为</w:t>
      </w:r>
      <w:r>
        <w:rPr>
          <w:rFonts w:hint="eastAsia" w:asciiTheme="minorEastAsia" w:hAnsiTheme="minorEastAsia" w:eastAsiaTheme="minorEastAsia"/>
          <w:b w:val="0"/>
          <w:bCs/>
          <w:color w:val="auto"/>
          <w:kern w:val="44"/>
          <w:szCs w:val="24"/>
          <w:highlight w:val="none"/>
          <w:lang w:val="en-US" w:eastAsia="zh-CN"/>
        </w:rPr>
        <w:t>XX</w:t>
      </w:r>
      <w:r>
        <w:rPr>
          <w:rFonts w:hint="eastAsia" w:asciiTheme="minorEastAsia" w:hAnsiTheme="minorEastAsia" w:eastAsiaTheme="minorEastAsia"/>
          <w:b w:val="0"/>
          <w:bCs/>
          <w:color w:val="auto"/>
          <w:kern w:val="44"/>
          <w:szCs w:val="24"/>
          <w:highlight w:val="none"/>
        </w:rPr>
        <w:t>元</w:t>
      </w:r>
      <w:bookmarkEnd w:id="17"/>
      <w:r>
        <w:rPr>
          <w:rFonts w:hint="eastAsia" w:asciiTheme="minorEastAsia" w:hAnsiTheme="minorEastAsia" w:eastAsiaTheme="minorEastAsia"/>
          <w:b w:val="0"/>
          <w:bCs/>
          <w:color w:val="auto"/>
          <w:kern w:val="44"/>
          <w:szCs w:val="24"/>
          <w:highlight w:val="none"/>
        </w:rPr>
        <w:t>；每个季度含税总价为</w:t>
      </w:r>
      <w:r>
        <w:rPr>
          <w:rFonts w:hint="eastAsia" w:asciiTheme="minorEastAsia" w:hAnsiTheme="minorEastAsia" w:eastAsiaTheme="minorEastAsia"/>
          <w:b w:val="0"/>
          <w:bCs/>
          <w:color w:val="auto"/>
          <w:kern w:val="44"/>
          <w:szCs w:val="24"/>
          <w:highlight w:val="none"/>
          <w:lang w:val="en-US" w:eastAsia="zh-CN"/>
        </w:rPr>
        <w:t>XX</w:t>
      </w:r>
      <w:r>
        <w:rPr>
          <w:rFonts w:hint="eastAsia" w:asciiTheme="minorEastAsia" w:hAnsiTheme="minorEastAsia" w:eastAsiaTheme="minorEastAsia"/>
          <w:b w:val="0"/>
          <w:bCs/>
          <w:color w:val="auto"/>
          <w:kern w:val="44"/>
          <w:szCs w:val="24"/>
          <w:highlight w:val="none"/>
        </w:rPr>
        <w:t>元（</w:t>
      </w:r>
      <w:r>
        <w:rPr>
          <w:rFonts w:hint="eastAsia" w:asciiTheme="minorEastAsia" w:hAnsiTheme="minorEastAsia" w:eastAsiaTheme="minorEastAsia"/>
          <w:b w:val="0"/>
          <w:bCs/>
          <w:color w:val="auto"/>
          <w:kern w:val="44"/>
          <w:szCs w:val="24"/>
          <w:highlight w:val="none"/>
          <w:lang w:val="en-US" w:eastAsia="zh-CN"/>
        </w:rPr>
        <w:t>XX</w:t>
      </w:r>
      <w:r>
        <w:rPr>
          <w:rFonts w:hint="eastAsia" w:asciiTheme="minorEastAsia" w:hAnsiTheme="minorEastAsia" w:eastAsiaTheme="minorEastAsia"/>
          <w:b w:val="0"/>
          <w:bCs/>
          <w:color w:val="auto"/>
          <w:kern w:val="44"/>
          <w:szCs w:val="24"/>
          <w:highlight w:val="none"/>
        </w:rPr>
        <w:t>元整），不含增值税价为</w:t>
      </w:r>
      <w:r>
        <w:rPr>
          <w:rFonts w:hint="eastAsia" w:asciiTheme="minorEastAsia" w:hAnsiTheme="minorEastAsia" w:eastAsiaTheme="minorEastAsia"/>
          <w:b w:val="0"/>
          <w:bCs/>
          <w:color w:val="auto"/>
          <w:kern w:val="44"/>
          <w:szCs w:val="24"/>
          <w:highlight w:val="none"/>
          <w:lang w:val="en-US" w:eastAsia="zh-CN"/>
        </w:rPr>
        <w:t>XX</w:t>
      </w:r>
      <w:r>
        <w:rPr>
          <w:rFonts w:hint="eastAsia" w:asciiTheme="minorEastAsia" w:hAnsiTheme="minorEastAsia" w:eastAsiaTheme="minorEastAsia"/>
          <w:b w:val="0"/>
          <w:bCs/>
          <w:color w:val="auto"/>
          <w:kern w:val="44"/>
          <w:szCs w:val="24"/>
          <w:highlight w:val="none"/>
        </w:rPr>
        <w:t>元，增值税税额为</w:t>
      </w:r>
      <w:r>
        <w:rPr>
          <w:rFonts w:hint="eastAsia" w:asciiTheme="minorEastAsia" w:hAnsiTheme="minorEastAsia" w:eastAsiaTheme="minorEastAsia"/>
          <w:b w:val="0"/>
          <w:bCs/>
          <w:color w:val="auto"/>
          <w:kern w:val="44"/>
          <w:szCs w:val="24"/>
          <w:highlight w:val="none"/>
          <w:lang w:val="en-US" w:eastAsia="zh-CN"/>
        </w:rPr>
        <w:t>XX</w:t>
      </w:r>
      <w:r>
        <w:rPr>
          <w:rFonts w:hint="eastAsia" w:asciiTheme="minorEastAsia" w:hAnsiTheme="minorEastAsia" w:eastAsiaTheme="minorEastAsia"/>
          <w:b w:val="0"/>
          <w:bCs/>
          <w:color w:val="auto"/>
          <w:kern w:val="44"/>
          <w:szCs w:val="24"/>
          <w:highlight w:val="none"/>
        </w:rPr>
        <w:t>元。</w:t>
      </w:r>
    </w:p>
    <w:p w14:paraId="5739E010">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乙方提出的变更要求未得到甲方批准的，一律不得调整合同价。在合同实施期内无论是市场变化或政策性规定变动，均不得调高合同价。</w:t>
      </w:r>
    </w:p>
    <w:p w14:paraId="449F613F">
      <w:pPr>
        <w:pStyle w:val="2"/>
        <w:keepNext w:val="0"/>
        <w:spacing w:after="163" w:afterLines="50" w:line="420" w:lineRule="exact"/>
        <w:ind w:left="0"/>
        <w:rPr>
          <w:rFonts w:asciiTheme="minorEastAsia" w:hAnsiTheme="minorEastAsia" w:eastAsiaTheme="minorEastAsia"/>
          <w:color w:val="auto"/>
          <w:sz w:val="24"/>
          <w:szCs w:val="24"/>
          <w:highlight w:val="none"/>
        </w:rPr>
      </w:pPr>
      <w:bookmarkStart w:id="18" w:name="_Toc284314742"/>
      <w:bookmarkStart w:id="19" w:name="_Toc272415152"/>
      <w:bookmarkStart w:id="20" w:name="_Toc91868766"/>
      <w:bookmarkStart w:id="21" w:name="_Toc345335766"/>
      <w:bookmarkStart w:id="22" w:name="_Toc91868765"/>
      <w:r>
        <w:rPr>
          <w:rFonts w:hint="eastAsia" w:asciiTheme="minorEastAsia" w:hAnsiTheme="minorEastAsia" w:eastAsiaTheme="minorEastAsia"/>
          <w:color w:val="auto"/>
          <w:sz w:val="24"/>
          <w:szCs w:val="24"/>
          <w:highlight w:val="none"/>
        </w:rPr>
        <w:t>付款方式</w:t>
      </w:r>
      <w:bookmarkEnd w:id="18"/>
      <w:bookmarkEnd w:id="19"/>
      <w:bookmarkEnd w:id="20"/>
      <w:bookmarkEnd w:id="21"/>
    </w:p>
    <w:p w14:paraId="2B74443B">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bookmarkStart w:id="23" w:name="_Toc91868767"/>
      <w:r>
        <w:rPr>
          <w:rFonts w:hint="eastAsia" w:asciiTheme="minorEastAsia" w:hAnsiTheme="minorEastAsia" w:eastAsiaTheme="minorEastAsia"/>
          <w:b w:val="0"/>
          <w:bCs/>
          <w:color w:val="auto"/>
          <w:kern w:val="44"/>
          <w:szCs w:val="24"/>
          <w:highlight w:val="none"/>
        </w:rPr>
        <w:t>乙方完成正常维保工作且须甲方验收合格后，甲方向乙方按季度支付费用</w:t>
      </w:r>
      <w:bookmarkEnd w:id="23"/>
      <w:r>
        <w:rPr>
          <w:rFonts w:hint="eastAsia" w:asciiTheme="minorEastAsia" w:hAnsiTheme="minorEastAsia" w:eastAsiaTheme="minorEastAsia"/>
          <w:b w:val="0"/>
          <w:bCs/>
          <w:color w:val="auto"/>
          <w:kern w:val="44"/>
          <w:szCs w:val="24"/>
          <w:highlight w:val="none"/>
        </w:rPr>
        <w:t>。</w:t>
      </w:r>
    </w:p>
    <w:p w14:paraId="1A7E36AF">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甲方在收到乙方开出同期等额且增值税税率为</w:t>
      </w:r>
      <w:r>
        <w:rPr>
          <w:rFonts w:hint="eastAsia" w:asciiTheme="minorEastAsia" w:hAnsiTheme="minorEastAsia" w:eastAsiaTheme="minorEastAsia"/>
          <w:b w:val="0"/>
          <w:bCs/>
          <w:color w:val="auto"/>
          <w:kern w:val="44"/>
          <w:szCs w:val="24"/>
          <w:highlight w:val="none"/>
          <w:lang w:val="en-US" w:eastAsia="zh-CN"/>
        </w:rPr>
        <w:t>X</w:t>
      </w:r>
      <w:r>
        <w:rPr>
          <w:rFonts w:hint="eastAsia" w:asciiTheme="minorEastAsia" w:hAnsiTheme="minorEastAsia" w:eastAsiaTheme="minorEastAsia"/>
          <w:b w:val="0"/>
          <w:bCs/>
          <w:color w:val="auto"/>
          <w:kern w:val="44"/>
          <w:szCs w:val="24"/>
          <w:highlight w:val="none"/>
        </w:rPr>
        <w:t>%的有效增值税专用发票后付款。</w:t>
      </w:r>
      <w:r>
        <w:rPr>
          <w:rFonts w:asciiTheme="minorEastAsia" w:hAnsiTheme="minorEastAsia" w:eastAsiaTheme="minorEastAsia"/>
          <w:b w:val="0"/>
          <w:bCs/>
          <w:color w:val="auto"/>
          <w:kern w:val="44"/>
          <w:szCs w:val="24"/>
          <w:highlight w:val="none"/>
        </w:rPr>
        <w:t xml:space="preserve"> </w:t>
      </w:r>
    </w:p>
    <w:bookmarkEnd w:id="22"/>
    <w:p w14:paraId="7C6F7396">
      <w:pPr>
        <w:pStyle w:val="2"/>
        <w:keepNext w:val="0"/>
        <w:spacing w:after="163" w:afterLines="50" w:line="420" w:lineRule="exact"/>
        <w:ind w:left="0"/>
        <w:rPr>
          <w:rFonts w:asciiTheme="minorEastAsia" w:hAnsiTheme="minorEastAsia" w:eastAsiaTheme="minorEastAsia"/>
          <w:color w:val="auto"/>
          <w:sz w:val="24"/>
          <w:szCs w:val="24"/>
          <w:highlight w:val="none"/>
        </w:rPr>
      </w:pPr>
      <w:bookmarkStart w:id="24" w:name="_Toc91868768"/>
      <w:r>
        <w:rPr>
          <w:rFonts w:hint="eastAsia" w:asciiTheme="minorEastAsia" w:hAnsiTheme="minorEastAsia" w:eastAsiaTheme="minorEastAsia"/>
          <w:color w:val="auto"/>
          <w:sz w:val="24"/>
          <w:szCs w:val="24"/>
          <w:highlight w:val="none"/>
        </w:rPr>
        <w:t>合同期限</w:t>
      </w:r>
    </w:p>
    <w:p w14:paraId="338F408E">
      <w:pPr>
        <w:pStyle w:val="2"/>
        <w:keepNext w:val="0"/>
        <w:numPr>
          <w:ilvl w:val="255"/>
          <w:numId w:val="0"/>
        </w:numPr>
        <w:tabs>
          <w:tab w:val="clear" w:pos="851"/>
        </w:tabs>
        <w:spacing w:line="360" w:lineRule="auto"/>
        <w:jc w:val="left"/>
        <w:rPr>
          <w:rFonts w:asciiTheme="minorEastAsia" w:hAnsiTheme="minorEastAsia" w:eastAsiaTheme="minorEastAsia"/>
          <w:b w:val="0"/>
          <w:bCs/>
          <w:color w:val="auto"/>
          <w:kern w:val="44"/>
          <w:sz w:val="24"/>
          <w:szCs w:val="24"/>
          <w:highlight w:val="none"/>
        </w:rPr>
      </w:pPr>
      <w:r>
        <w:rPr>
          <w:rFonts w:hint="eastAsia" w:asciiTheme="minorEastAsia" w:hAnsiTheme="minorEastAsia" w:eastAsiaTheme="minorEastAsia"/>
          <w:b w:val="0"/>
          <w:bCs/>
          <w:color w:val="auto"/>
          <w:kern w:val="44"/>
          <w:sz w:val="24"/>
          <w:szCs w:val="24"/>
          <w:highlight w:val="none"/>
        </w:rPr>
        <w:t>服务年限：202</w:t>
      </w:r>
      <w:r>
        <w:rPr>
          <w:rFonts w:hint="eastAsia" w:asciiTheme="minorEastAsia" w:hAnsiTheme="minorEastAsia" w:eastAsiaTheme="minorEastAsia"/>
          <w:b w:val="0"/>
          <w:bCs/>
          <w:color w:val="auto"/>
          <w:kern w:val="44"/>
          <w:sz w:val="24"/>
          <w:szCs w:val="24"/>
          <w:highlight w:val="none"/>
          <w:lang w:val="en-US" w:eastAsia="zh-CN"/>
        </w:rPr>
        <w:t>X</w:t>
      </w:r>
      <w:r>
        <w:rPr>
          <w:rFonts w:hint="eastAsia" w:asciiTheme="minorEastAsia" w:hAnsiTheme="minorEastAsia" w:eastAsiaTheme="minorEastAsia"/>
          <w:b w:val="0"/>
          <w:bCs/>
          <w:color w:val="auto"/>
          <w:kern w:val="44"/>
          <w:sz w:val="24"/>
          <w:szCs w:val="24"/>
          <w:highlight w:val="none"/>
        </w:rPr>
        <w:t>年8月1日至202</w:t>
      </w:r>
      <w:r>
        <w:rPr>
          <w:rFonts w:hint="eastAsia" w:asciiTheme="minorEastAsia" w:hAnsiTheme="minorEastAsia" w:eastAsiaTheme="minorEastAsia"/>
          <w:b w:val="0"/>
          <w:bCs/>
          <w:color w:val="auto"/>
          <w:kern w:val="44"/>
          <w:sz w:val="24"/>
          <w:szCs w:val="24"/>
          <w:highlight w:val="none"/>
          <w:lang w:val="en-US" w:eastAsia="zh-CN"/>
        </w:rPr>
        <w:t>X</w:t>
      </w:r>
      <w:r>
        <w:rPr>
          <w:rFonts w:hint="eastAsia" w:asciiTheme="minorEastAsia" w:hAnsiTheme="minorEastAsia" w:eastAsiaTheme="minorEastAsia"/>
          <w:b w:val="0"/>
          <w:bCs/>
          <w:color w:val="auto"/>
          <w:kern w:val="44"/>
          <w:sz w:val="24"/>
          <w:szCs w:val="24"/>
          <w:highlight w:val="none"/>
        </w:rPr>
        <w:t>年7月31日。</w:t>
      </w:r>
    </w:p>
    <w:bookmarkEnd w:id="24"/>
    <w:p w14:paraId="14FBA161">
      <w:pPr>
        <w:pStyle w:val="2"/>
        <w:keepNext w:val="0"/>
        <w:spacing w:after="163" w:afterLines="50" w:line="420" w:lineRule="exact"/>
        <w:ind w:left="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双方责任</w:t>
      </w:r>
    </w:p>
    <w:p w14:paraId="6556CC32">
      <w:pPr>
        <w:pStyle w:val="3"/>
        <w:keepNext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甲方责任</w:t>
      </w:r>
    </w:p>
    <w:p w14:paraId="0F652933">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提供与消防系统有关的竣工图给乙方参阅；</w:t>
      </w:r>
    </w:p>
    <w:p w14:paraId="0C0F38EC">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维护保养期间甲方应提供乙方工作的便利条件，如提供维修设备和零配件放置的地方，并在工作上尽量予以协助（如提供登高工具等）；</w:t>
      </w:r>
    </w:p>
    <w:p w14:paraId="5C103875">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每月的保养工作日甲方应派员协助乙方进行工作，甲方人员有权制止和处罚乙方违章作业行为；</w:t>
      </w:r>
    </w:p>
    <w:p w14:paraId="368DB2EC">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消防系统出现异常和故障，甲方应在24小时内通知乙方；</w:t>
      </w:r>
    </w:p>
    <w:p w14:paraId="531088BA">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维护保养工作完成后，甲方应合同约定及时支付维护保养费用；</w:t>
      </w:r>
    </w:p>
    <w:p w14:paraId="691FD50B">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乙方在维护保养过程中，乙方如因工作需要与消防系统有关技术资料（设计和设备资料等），甲方尽量提供。</w:t>
      </w:r>
    </w:p>
    <w:p w14:paraId="36929AD9">
      <w:pPr>
        <w:pStyle w:val="3"/>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乙方责任</w:t>
      </w:r>
    </w:p>
    <w:p w14:paraId="08592EBF">
      <w:pPr>
        <w:pStyle w:val="4"/>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严格遵守甲方各项安全规定，服从甲方的管理指挥，乙方工作人员人身安全保险由乙方自理；乙方负责维护保养工作期间的安全责任工作。乙方应对其履行合同所雇佣的全部人员的工伤事故承担责任。由于乙方原因在施工场地内及其毗邻地带造成的第三者人员伤亡和财产损失，其责任和损失概由乙方负责；</w:t>
      </w:r>
    </w:p>
    <w:p w14:paraId="2D93EB3E">
      <w:pPr>
        <w:pStyle w:val="4"/>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严格遵守甲乙双方签订的《安全生产管理协议》，做好安全和防范措施，确保施工安全；</w:t>
      </w:r>
    </w:p>
    <w:p w14:paraId="3E226F44">
      <w:pPr>
        <w:pStyle w:val="4"/>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严格遵守甲方安全、环保管理的相关规定；</w:t>
      </w:r>
    </w:p>
    <w:p w14:paraId="0207539D">
      <w:pPr>
        <w:pStyle w:val="4"/>
        <w:keepNext w:val="0"/>
        <w:widowControl w:val="0"/>
        <w:suppressAutoHyphens w:val="0"/>
        <w:spacing w:after="163" w:afterLines="50" w:line="420" w:lineRule="exact"/>
        <w:ind w:left="0"/>
        <w:rPr>
          <w:rFonts w:asciiTheme="minorEastAsia" w:hAnsiTheme="minorEastAsia" w:eastAsiaTheme="minorEastAsia"/>
          <w:color w:val="auto"/>
          <w:highlight w:val="none"/>
          <w:shd w:val="clear" w:color="auto" w:fill="FFFFFF"/>
        </w:rPr>
      </w:pPr>
      <w:r>
        <w:rPr>
          <w:rFonts w:hint="eastAsia" w:asciiTheme="minorEastAsia" w:hAnsiTheme="minorEastAsia" w:eastAsiaTheme="minorEastAsia"/>
          <w:color w:val="auto"/>
          <w:szCs w:val="24"/>
          <w:highlight w:val="none"/>
        </w:rPr>
        <w:t>乙方的维护保养工作应根据国家《火灾自动报警系统施工及验收规范》、《自动喷水灭火系统施工及验收规范》、《气体灭火系统施工及验收规范》等相关规范要求，制定相应的检查保养要求，并满足消防部门有关规定；</w:t>
      </w:r>
    </w:p>
    <w:p w14:paraId="7C5738C3">
      <w:pPr>
        <w:pStyle w:val="4"/>
        <w:keepNext w:val="0"/>
        <w:widowControl w:val="0"/>
        <w:suppressAutoHyphens w:val="0"/>
        <w:spacing w:after="163" w:afterLines="50" w:line="420" w:lineRule="exact"/>
        <w:ind w:left="0"/>
        <w:rPr>
          <w:color w:val="auto"/>
          <w:highlight w:val="none"/>
        </w:rPr>
      </w:pPr>
      <w:r>
        <w:rPr>
          <w:rFonts w:hint="eastAsia" w:asciiTheme="minorEastAsia" w:hAnsiTheme="minorEastAsia" w:eastAsiaTheme="minorEastAsia"/>
          <w:color w:val="auto"/>
          <w:highlight w:val="none"/>
          <w:shd w:val="clear" w:color="auto" w:fill="FFFFFF"/>
        </w:rPr>
        <w:t>按国家消防法及灭火器材国家标准等相关要求，定期检查移动式灭火器药剂、贮瓶有无过期失效。</w:t>
      </w:r>
    </w:p>
    <w:p w14:paraId="393CDB7E">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对所保养的系统有涉及系统修改或变更时，必须得到甲方的书面批准；</w:t>
      </w:r>
    </w:p>
    <w:p w14:paraId="3F5ECBCF">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乙方应按时对甲方消防系统维护区域，进行相关检查、测试，使各个系统处于正常有效的运行状态；</w:t>
      </w:r>
    </w:p>
    <w:p w14:paraId="00305890">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本合同签订后10个工作日内，乙方需向甲方提供全年的维修、测试计划（月度、季度、全年），每次维修保养工作开始前，乙方必须向甲方指定人员提交工作区域、时间计划，经书面同意后方可实施；</w:t>
      </w:r>
    </w:p>
    <w:p w14:paraId="335D8B31">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乙方须在合同期内对甲方所委托维护的消防设施进行年度检测，每年的年度检测后，乙方需向甲方提供符合国家法律法规规定的年度消防设施设备检测书面报告一式两份。</w:t>
      </w:r>
    </w:p>
    <w:p w14:paraId="06AC86EF">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消防系统的保养工作除首月外，乙方每月安排不少于2位技术人员参与，且乙方为甲方提供服务的人员须具有2年以上专业经验，并须持证上岗以确保系统运行状态正常有效；</w:t>
      </w:r>
    </w:p>
    <w:p w14:paraId="3D9B76F1">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为使维修保养工作能顺利进行，乙方应制定完善月度巡检表，提交甲方审定实施；</w:t>
      </w:r>
    </w:p>
    <w:p w14:paraId="4AE58C30">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突发事件处理：在正常工作期间内接到急修电话，3小时内赶到到现场，非正常工作时间内接到急修电话，4小时内赶到到现场，处理故障使系统恢复正常；非急修电话24小时内赶到现场，处理故障使系统恢复正常。</w:t>
      </w:r>
    </w:p>
    <w:p w14:paraId="677DA8D2">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乙方应积极配合甲方的消防、紧急应变演习，演习完毕尽快配合甲方对系统进行全面恢复，及时处理可能的消防误报警事件（包括非乙方责任引起的）；</w:t>
      </w:r>
    </w:p>
    <w:p w14:paraId="0A5E4BB3">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配合甲方消防系统更改后的系统连接和测试，但甲方较大的改造工程引起的软件更改、系统连接和测试可另行收费。</w:t>
      </w:r>
    </w:p>
    <w:p w14:paraId="5B9D3300">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配合甲方完善现有消防系统的可靠性；</w:t>
      </w:r>
    </w:p>
    <w:p w14:paraId="07D7B3CF">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如果乙方服务期间涉及为甲方安装电器产品等消防监管产品，其安装的线路、管路的设计，敷设，必须符合国家有关消防安全技术规定；</w:t>
      </w:r>
    </w:p>
    <w:p w14:paraId="2F3A5431">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每次检查维修保养工作完成后，乙方应向甲方提供一份由乙方技术人员签名的保养单或检验报告，并由甲方指定代表签字认可。</w:t>
      </w:r>
    </w:p>
    <w:p w14:paraId="0004A13E">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所有检修完工后七天内乙方应递交一份检验报告，列明设备损坏的原因、程度及处理的结果和并将有关的数据提交甲方。</w:t>
      </w:r>
    </w:p>
    <w:p w14:paraId="0D3415F2">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在合同执行期间，由于检查、维护和保养不到位，致使甲方所属的设备或设施发生故障的，由乙方负责维修和恢复的费用。</w:t>
      </w:r>
    </w:p>
    <w:p w14:paraId="2ACFDE37">
      <w:pPr>
        <w:pStyle w:val="4"/>
        <w:keepNext w:val="0"/>
        <w:widowControl w:val="0"/>
        <w:suppressAutoHyphens w:val="0"/>
        <w:spacing w:after="163" w:afterLines="50" w:line="420" w:lineRule="exact"/>
        <w:ind w:left="0"/>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乙方每年给甲方提供1次现场免费消防系统使用培训。</w:t>
      </w:r>
    </w:p>
    <w:p w14:paraId="3E8B5693">
      <w:pPr>
        <w:pStyle w:val="2"/>
        <w:keepNext w:val="0"/>
        <w:spacing w:after="163" w:afterLines="50" w:line="420" w:lineRule="exact"/>
        <w:ind w:left="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保密承诺及考核</w:t>
      </w:r>
    </w:p>
    <w:p w14:paraId="302E3390">
      <w:pPr>
        <w:pStyle w:val="3"/>
        <w:keepNext w:val="0"/>
        <w:spacing w:after="163" w:afterLines="50" w:line="420" w:lineRule="exact"/>
        <w:ind w:left="0"/>
        <w:rPr>
          <w:rFonts w:hint="default" w:ascii="仿宋" w:hAnsi="仿宋" w:eastAsia="仿宋" w:cs="Times New Roman"/>
          <w:b/>
          <w:bCs/>
          <w:color w:val="auto"/>
          <w:sz w:val="32"/>
          <w:szCs w:val="32"/>
          <w:highlight w:val="none"/>
          <w:lang w:val="en-US"/>
        </w:rPr>
      </w:pPr>
      <w:r>
        <w:rPr>
          <w:rFonts w:hint="eastAsia" w:asciiTheme="minorEastAsia" w:hAnsiTheme="minorEastAsia" w:eastAsiaTheme="minorEastAsia"/>
          <w:b w:val="0"/>
          <w:color w:val="auto"/>
          <w:szCs w:val="24"/>
          <w:highlight w:val="none"/>
        </w:rPr>
        <w:t>乙方必须遵守甲方的保密规则，不可将甲方的相关商业资料及信息外传和泄密，与甲方公司相关的资料需经甲方认可后，才可带离甲方公司，否则甲方有保留追究法律责任的权利。</w:t>
      </w:r>
    </w:p>
    <w:p w14:paraId="6409A657">
      <w:pPr>
        <w:pStyle w:val="3"/>
        <w:keepNext w:val="0"/>
        <w:spacing w:after="163" w:afterLines="50" w:line="420" w:lineRule="exact"/>
        <w:ind w:left="0"/>
        <w:rPr>
          <w:rFonts w:asciiTheme="minorEastAsia" w:hAnsiTheme="minorEastAsia" w:eastAsiaTheme="minorEastAsia"/>
          <w:b w:val="0"/>
          <w:color w:val="auto"/>
          <w:szCs w:val="24"/>
          <w:highlight w:val="none"/>
        </w:rPr>
      </w:pPr>
      <w:r>
        <w:rPr>
          <w:rFonts w:hint="eastAsia" w:asciiTheme="minorEastAsia" w:hAnsiTheme="minorEastAsia" w:eastAsiaTheme="minorEastAsia"/>
          <w:b w:val="0"/>
          <w:color w:val="auto"/>
          <w:szCs w:val="24"/>
          <w:highlight w:val="none"/>
        </w:rPr>
        <w:t>如乙方人员在甲方场区内出现“三违”现象，甲方将按每人次￥100元扣除乙方的合同违约金</w:t>
      </w:r>
      <w:r>
        <w:rPr>
          <w:rFonts w:hint="eastAsia" w:asciiTheme="minorEastAsia" w:hAnsiTheme="minorEastAsia" w:eastAsiaTheme="minorEastAsia"/>
          <w:b w:val="0"/>
          <w:color w:val="auto"/>
          <w:szCs w:val="24"/>
          <w:highlight w:val="none"/>
          <w:lang w:val="en-US" w:eastAsia="zh-CN"/>
        </w:rPr>
        <w:t>或按《</w:t>
      </w:r>
      <w:r>
        <w:rPr>
          <w:rFonts w:hint="eastAsia" w:ascii="宋体" w:hAnsi="宋体" w:eastAsia="宋体" w:cs="宋体"/>
          <w:b w:val="0"/>
          <w:bCs w:val="0"/>
          <w:color w:val="auto"/>
          <w:sz w:val="24"/>
          <w:szCs w:val="24"/>
          <w:highlight w:val="none"/>
        </w:rPr>
        <w:t>广州集装箱码头有限公司安全管理奖惩考核规定</w:t>
      </w:r>
      <w:r>
        <w:rPr>
          <w:rFonts w:hint="eastAsia" w:ascii="宋体" w:hAnsi="宋体" w:eastAsia="宋体" w:cs="宋体"/>
          <w:b w:val="0"/>
          <w:color w:val="auto"/>
          <w:szCs w:val="24"/>
          <w:highlight w:val="none"/>
          <w:lang w:val="en-US" w:eastAsia="zh-CN"/>
        </w:rPr>
        <w:t>》的条款进行考核</w:t>
      </w:r>
      <w:r>
        <w:rPr>
          <w:rFonts w:hint="eastAsia" w:asciiTheme="minorEastAsia" w:hAnsiTheme="minorEastAsia" w:eastAsiaTheme="minorEastAsia"/>
          <w:b w:val="0"/>
          <w:color w:val="auto"/>
          <w:szCs w:val="24"/>
          <w:highlight w:val="none"/>
        </w:rPr>
        <w:t>并从下一季合同支付费用中扣除。</w:t>
      </w:r>
    </w:p>
    <w:p w14:paraId="6D551E70">
      <w:pPr>
        <w:pStyle w:val="3"/>
        <w:keepNext w:val="0"/>
        <w:spacing w:after="163" w:afterLines="50" w:line="420" w:lineRule="exact"/>
        <w:ind w:left="0"/>
        <w:rPr>
          <w:rFonts w:asciiTheme="minorEastAsia" w:hAnsiTheme="minorEastAsia" w:eastAsiaTheme="minorEastAsia"/>
          <w:b w:val="0"/>
          <w:color w:val="auto"/>
          <w:szCs w:val="24"/>
          <w:highlight w:val="none"/>
        </w:rPr>
      </w:pPr>
      <w:r>
        <w:rPr>
          <w:rFonts w:hint="eastAsia" w:asciiTheme="minorEastAsia" w:hAnsiTheme="minorEastAsia" w:eastAsiaTheme="minorEastAsia"/>
          <w:b w:val="0"/>
          <w:color w:val="auto"/>
          <w:szCs w:val="24"/>
          <w:highlight w:val="none"/>
        </w:rPr>
        <w:t>如乙方未能按照合同的相关要求完成日常保养维护项目</w:t>
      </w:r>
      <w:r>
        <w:rPr>
          <w:rFonts w:hint="eastAsia" w:asciiTheme="minorEastAsia" w:hAnsiTheme="minorEastAsia" w:eastAsiaTheme="minorEastAsia"/>
          <w:b w:val="0"/>
          <w:color w:val="auto"/>
          <w:szCs w:val="24"/>
          <w:highlight w:val="none"/>
          <w:lang w:eastAsia="zh-CN"/>
        </w:rPr>
        <w:t>（</w:t>
      </w:r>
      <w:r>
        <w:rPr>
          <w:rFonts w:hint="eastAsia" w:asciiTheme="minorEastAsia" w:hAnsiTheme="minorEastAsia" w:eastAsiaTheme="minorEastAsia"/>
          <w:b w:val="0"/>
          <w:color w:val="auto"/>
          <w:szCs w:val="24"/>
          <w:highlight w:val="none"/>
          <w:lang w:val="en-US" w:eastAsia="zh-CN"/>
        </w:rPr>
        <w:t>如缺检漏检次数超过3次以上或是未能及时发现消防设施过期失效等一系列）</w:t>
      </w:r>
      <w:r>
        <w:rPr>
          <w:rFonts w:hint="eastAsia" w:asciiTheme="minorEastAsia" w:hAnsiTheme="minorEastAsia" w:eastAsiaTheme="minorEastAsia"/>
          <w:b w:val="0"/>
          <w:color w:val="auto"/>
          <w:szCs w:val="24"/>
          <w:highlight w:val="none"/>
        </w:rPr>
        <w:t>，甲方将按每项￥1000元（不包括事故损失）扣除乙方的合同违约金，并从下一季合同支付费用中扣除。</w:t>
      </w:r>
    </w:p>
    <w:p w14:paraId="289B8436">
      <w:pPr>
        <w:pStyle w:val="3"/>
        <w:keepNext w:val="0"/>
        <w:spacing w:after="163" w:afterLines="50" w:line="420" w:lineRule="exact"/>
        <w:ind w:left="0"/>
        <w:rPr>
          <w:rFonts w:asciiTheme="minorEastAsia" w:hAnsiTheme="minorEastAsia" w:eastAsiaTheme="minorEastAsia"/>
          <w:b w:val="0"/>
          <w:color w:val="auto"/>
          <w:szCs w:val="24"/>
          <w:highlight w:val="none"/>
        </w:rPr>
      </w:pPr>
      <w:r>
        <w:rPr>
          <w:rFonts w:hint="eastAsia" w:asciiTheme="minorEastAsia" w:hAnsiTheme="minorEastAsia" w:eastAsiaTheme="minorEastAsia"/>
          <w:b w:val="0"/>
          <w:color w:val="auto"/>
          <w:szCs w:val="24"/>
          <w:highlight w:val="none"/>
        </w:rPr>
        <w:t>乙方应根据合同的要求，除达到日常检查和保养要求外，如消防或政府相关部门检查达不到消防安全要求（原有设计和原有设备除外），乙方应按消防或政府相关部门的整改要求和期限完成，费用由乙方承担。</w:t>
      </w:r>
    </w:p>
    <w:p w14:paraId="0E9DB5B5">
      <w:pPr>
        <w:pStyle w:val="2"/>
        <w:keepNext w:val="0"/>
        <w:spacing w:after="163" w:afterLines="50" w:line="420" w:lineRule="exact"/>
        <w:ind w:left="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培训要求</w:t>
      </w:r>
    </w:p>
    <w:p w14:paraId="01867181">
      <w:pPr>
        <w:pStyle w:val="3"/>
        <w:keepNext w:val="0"/>
        <w:spacing w:after="163" w:afterLines="50" w:line="420" w:lineRule="exact"/>
        <w:ind w:left="0"/>
        <w:rPr>
          <w:rFonts w:asciiTheme="minorEastAsia" w:hAnsiTheme="minorEastAsia" w:eastAsiaTheme="minorEastAsia"/>
          <w:b w:val="0"/>
          <w:color w:val="auto"/>
          <w:szCs w:val="24"/>
          <w:highlight w:val="none"/>
        </w:rPr>
      </w:pPr>
      <w:r>
        <w:rPr>
          <w:rFonts w:hint="eastAsia" w:asciiTheme="minorEastAsia" w:hAnsiTheme="minorEastAsia" w:eastAsiaTheme="minorEastAsia"/>
          <w:b w:val="0"/>
          <w:color w:val="auto"/>
          <w:szCs w:val="24"/>
          <w:highlight w:val="none"/>
        </w:rPr>
        <w:t>乙方在会同期内应组织甲方的应急救援队伍在消防知识、设备操作方面提供每半年一次培训，每次不得少于8个课时，具体时间由甲方确定，并提前7天知会乙方，乙方制定培训事宜。</w:t>
      </w:r>
    </w:p>
    <w:p w14:paraId="767EC810">
      <w:pPr>
        <w:pStyle w:val="3"/>
        <w:keepNext w:val="0"/>
        <w:spacing w:after="163" w:afterLines="50" w:line="420" w:lineRule="exact"/>
        <w:ind w:left="0"/>
        <w:rPr>
          <w:rFonts w:asciiTheme="minorEastAsia" w:hAnsiTheme="minorEastAsia" w:eastAsiaTheme="minorEastAsia"/>
          <w:b w:val="0"/>
          <w:color w:val="auto"/>
          <w:szCs w:val="24"/>
          <w:highlight w:val="none"/>
        </w:rPr>
      </w:pPr>
      <w:r>
        <w:rPr>
          <w:rFonts w:hint="eastAsia" w:asciiTheme="minorEastAsia" w:hAnsiTheme="minorEastAsia" w:eastAsiaTheme="minorEastAsia"/>
          <w:b w:val="0"/>
          <w:color w:val="auto"/>
          <w:szCs w:val="24"/>
          <w:highlight w:val="none"/>
        </w:rPr>
        <w:t>乙方需积极参与协助甲方各类应急演练方案的制定和实施，同时也需协助完善甲方各类消防规章制度的编制工作。</w:t>
      </w:r>
    </w:p>
    <w:p w14:paraId="27712466">
      <w:pPr>
        <w:pStyle w:val="2"/>
        <w:keepNext w:val="0"/>
        <w:spacing w:after="163" w:afterLines="50" w:line="420" w:lineRule="exact"/>
        <w:ind w:left="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争议解决办法</w:t>
      </w:r>
    </w:p>
    <w:p w14:paraId="7D06DAC6">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bookmarkStart w:id="25" w:name="_Toc91868824"/>
      <w:r>
        <w:rPr>
          <w:rFonts w:hint="eastAsia" w:asciiTheme="minorEastAsia" w:hAnsiTheme="minorEastAsia" w:eastAsiaTheme="minorEastAsia"/>
          <w:b w:val="0"/>
          <w:bCs/>
          <w:color w:val="auto"/>
          <w:kern w:val="44"/>
          <w:szCs w:val="24"/>
          <w:highlight w:val="none"/>
        </w:rPr>
        <w:t>本合同的订立、生效、解释、变更和争议的裁决以中华人民共和国法律为依据。</w:t>
      </w:r>
      <w:bookmarkEnd w:id="25"/>
    </w:p>
    <w:p w14:paraId="7314ECD6">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bookmarkStart w:id="26" w:name="_Toc91868825"/>
      <w:r>
        <w:rPr>
          <w:rFonts w:hint="eastAsia" w:asciiTheme="minorEastAsia" w:hAnsiTheme="minorEastAsia" w:eastAsiaTheme="minorEastAsia"/>
          <w:b w:val="0"/>
          <w:bCs/>
          <w:color w:val="auto"/>
          <w:kern w:val="44"/>
          <w:szCs w:val="24"/>
          <w:highlight w:val="none"/>
        </w:rPr>
        <w:t>争议：双方在执行本合同过程中发生争议时应进行友好协商，</w:t>
      </w:r>
      <w:bookmarkEnd w:id="26"/>
      <w:r>
        <w:rPr>
          <w:rFonts w:hint="eastAsia" w:asciiTheme="minorEastAsia" w:hAnsiTheme="minorEastAsia" w:eastAsiaTheme="minorEastAsia"/>
          <w:b w:val="0"/>
          <w:bCs/>
          <w:color w:val="auto"/>
          <w:kern w:val="44"/>
          <w:szCs w:val="24"/>
          <w:highlight w:val="none"/>
        </w:rPr>
        <w:t>若协商不成，甲方所在地人民法院起诉.</w:t>
      </w:r>
    </w:p>
    <w:p w14:paraId="3B0227D4">
      <w:pPr>
        <w:pStyle w:val="3"/>
        <w:keepNext w:val="0"/>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争议发生后，除双方均同意停工外，双方都应继续履行合同，否则视为违约。</w:t>
      </w:r>
    </w:p>
    <w:p w14:paraId="684FC1B0">
      <w:pPr>
        <w:pStyle w:val="3"/>
        <w:spacing w:after="163" w:afterLines="50" w:line="420" w:lineRule="exact"/>
        <w:ind w:left="0"/>
        <w:rPr>
          <w:rFonts w:asciiTheme="minorEastAsia" w:hAnsiTheme="minorEastAsia" w:eastAsiaTheme="minorEastAsia"/>
          <w:b w:val="0"/>
          <w:bCs/>
          <w:color w:val="auto"/>
          <w:kern w:val="44"/>
          <w:szCs w:val="24"/>
          <w:highlight w:val="none"/>
        </w:rPr>
      </w:pPr>
      <w:r>
        <w:rPr>
          <w:rFonts w:hint="eastAsia" w:asciiTheme="minorEastAsia" w:hAnsiTheme="minorEastAsia" w:eastAsiaTheme="minorEastAsia"/>
          <w:b w:val="0"/>
          <w:bCs/>
          <w:color w:val="auto"/>
          <w:kern w:val="44"/>
          <w:szCs w:val="24"/>
          <w:highlight w:val="none"/>
        </w:rPr>
        <w:t>如因消防设备设施出现问题而发生事故，将根据消防监督部门查实核对原因，各方按责任分别承担。</w:t>
      </w:r>
    </w:p>
    <w:p w14:paraId="730B278D">
      <w:pPr>
        <w:pStyle w:val="2"/>
        <w:spacing w:after="163" w:afterLines="50" w:line="420" w:lineRule="exact"/>
        <w:ind w:left="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其他</w:t>
      </w:r>
    </w:p>
    <w:p w14:paraId="4E02C651">
      <w:pPr>
        <w:pStyle w:val="3"/>
        <w:spacing w:after="163" w:afterLines="50" w:line="420" w:lineRule="exact"/>
        <w:ind w:left="0"/>
        <w:rPr>
          <w:rFonts w:asciiTheme="minorEastAsia" w:hAnsiTheme="minorEastAsia" w:eastAsiaTheme="minorEastAsia"/>
          <w:b w:val="0"/>
          <w:bCs/>
          <w:color w:val="auto"/>
          <w:kern w:val="44"/>
          <w:szCs w:val="24"/>
          <w:highlight w:val="none"/>
        </w:rPr>
      </w:pPr>
      <w:bookmarkStart w:id="27" w:name="_Toc91868839"/>
      <w:r>
        <w:rPr>
          <w:rFonts w:hint="eastAsia" w:asciiTheme="minorEastAsia" w:hAnsiTheme="minorEastAsia" w:eastAsiaTheme="minorEastAsia"/>
          <w:b w:val="0"/>
          <w:bCs/>
          <w:color w:val="auto"/>
          <w:kern w:val="44"/>
          <w:szCs w:val="24"/>
          <w:highlight w:val="none"/>
        </w:rPr>
        <w:t>本合同一式四份，双方各执两份。</w:t>
      </w:r>
      <w:bookmarkEnd w:id="27"/>
    </w:p>
    <w:p w14:paraId="7FC00109">
      <w:pPr>
        <w:pStyle w:val="3"/>
        <w:spacing w:after="163" w:afterLines="50" w:line="420" w:lineRule="exact"/>
        <w:ind w:left="0"/>
        <w:rPr>
          <w:rFonts w:asciiTheme="minorEastAsia" w:hAnsiTheme="minorEastAsia" w:eastAsiaTheme="minorEastAsia"/>
          <w:color w:val="auto"/>
          <w:szCs w:val="24"/>
          <w:highlight w:val="none"/>
        </w:rPr>
      </w:pPr>
      <w:bookmarkStart w:id="28" w:name="_Toc91868840"/>
      <w:r>
        <w:rPr>
          <w:rFonts w:hint="eastAsia" w:asciiTheme="minorEastAsia" w:hAnsiTheme="minorEastAsia" w:eastAsiaTheme="minorEastAsia"/>
          <w:b w:val="0"/>
          <w:bCs/>
          <w:color w:val="auto"/>
          <w:kern w:val="44"/>
          <w:szCs w:val="24"/>
          <w:highlight w:val="none"/>
        </w:rPr>
        <w:t>未尽事宜双方另行订立补充合同，与本合同具有同等效力。</w:t>
      </w:r>
      <w:bookmarkEnd w:id="28"/>
    </w:p>
    <w:tbl>
      <w:tblPr>
        <w:tblStyle w:val="15"/>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00"/>
        <w:gridCol w:w="2835"/>
        <w:gridCol w:w="1984"/>
        <w:gridCol w:w="2481"/>
      </w:tblGrid>
      <w:tr w14:paraId="5702C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3" w:hRule="atLeast"/>
          <w:jc w:val="center"/>
        </w:trPr>
        <w:tc>
          <w:tcPr>
            <w:tcW w:w="2200" w:type="dxa"/>
            <w:vAlign w:val="center"/>
          </w:tcPr>
          <w:p w14:paraId="0283BBF7">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甲    方</w:t>
            </w:r>
          </w:p>
          <w:p w14:paraId="2D2955BF">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盖 章 )</w:t>
            </w:r>
          </w:p>
        </w:tc>
        <w:tc>
          <w:tcPr>
            <w:tcW w:w="2835" w:type="dxa"/>
          </w:tcPr>
          <w:p w14:paraId="37A6A40B">
            <w:pPr>
              <w:spacing w:after="163" w:afterLines="50"/>
              <w:jc w:val="center"/>
              <w:rPr>
                <w:rFonts w:asciiTheme="minorEastAsia" w:hAnsiTheme="minorEastAsia" w:eastAsiaTheme="minorEastAsia"/>
                <w:color w:val="auto"/>
                <w:szCs w:val="24"/>
                <w:highlight w:val="none"/>
              </w:rPr>
            </w:pPr>
          </w:p>
          <w:p w14:paraId="7D3AA027">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广州集装箱码头有限公司</w:t>
            </w:r>
          </w:p>
        </w:tc>
        <w:tc>
          <w:tcPr>
            <w:tcW w:w="1984" w:type="dxa"/>
            <w:vAlign w:val="center"/>
          </w:tcPr>
          <w:p w14:paraId="7A9BDF79">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乙    方</w:t>
            </w:r>
          </w:p>
          <w:p w14:paraId="4312B4E7">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盖 章 )</w:t>
            </w:r>
          </w:p>
        </w:tc>
        <w:tc>
          <w:tcPr>
            <w:tcW w:w="2481" w:type="dxa"/>
          </w:tcPr>
          <w:p w14:paraId="2C9554B3">
            <w:pPr>
              <w:spacing w:after="163" w:afterLines="50"/>
              <w:jc w:val="center"/>
              <w:rPr>
                <w:rFonts w:asciiTheme="minorEastAsia" w:hAnsiTheme="minorEastAsia" w:eastAsiaTheme="minorEastAsia"/>
                <w:color w:val="auto"/>
                <w:szCs w:val="24"/>
                <w:highlight w:val="none"/>
              </w:rPr>
            </w:pPr>
          </w:p>
        </w:tc>
      </w:tr>
      <w:tr w14:paraId="4C7A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3" w:hRule="atLeast"/>
          <w:jc w:val="center"/>
        </w:trPr>
        <w:tc>
          <w:tcPr>
            <w:tcW w:w="2200" w:type="dxa"/>
            <w:vAlign w:val="center"/>
          </w:tcPr>
          <w:p w14:paraId="1483E996">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签约代表</w:t>
            </w:r>
          </w:p>
          <w:p w14:paraId="47392348">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（签 署）</w:t>
            </w:r>
          </w:p>
        </w:tc>
        <w:tc>
          <w:tcPr>
            <w:tcW w:w="2835" w:type="dxa"/>
            <w:vAlign w:val="center"/>
          </w:tcPr>
          <w:p w14:paraId="084210E7">
            <w:pPr>
              <w:spacing w:after="163" w:afterLines="50"/>
              <w:jc w:val="center"/>
              <w:rPr>
                <w:rFonts w:asciiTheme="minorEastAsia" w:hAnsiTheme="minorEastAsia" w:eastAsiaTheme="minorEastAsia"/>
                <w:color w:val="auto"/>
                <w:szCs w:val="24"/>
                <w:highlight w:val="none"/>
              </w:rPr>
            </w:pPr>
          </w:p>
        </w:tc>
        <w:tc>
          <w:tcPr>
            <w:tcW w:w="1984" w:type="dxa"/>
            <w:vAlign w:val="center"/>
          </w:tcPr>
          <w:p w14:paraId="49B6DE36">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签约代表</w:t>
            </w:r>
          </w:p>
          <w:p w14:paraId="123AB57B">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（签 署）</w:t>
            </w:r>
          </w:p>
        </w:tc>
        <w:tc>
          <w:tcPr>
            <w:tcW w:w="2481" w:type="dxa"/>
            <w:vAlign w:val="center"/>
          </w:tcPr>
          <w:p w14:paraId="492303C7">
            <w:pPr>
              <w:spacing w:after="163" w:afterLines="50"/>
              <w:jc w:val="center"/>
              <w:rPr>
                <w:rFonts w:asciiTheme="minorEastAsia" w:hAnsiTheme="minorEastAsia" w:eastAsiaTheme="minorEastAsia"/>
                <w:color w:val="auto"/>
                <w:szCs w:val="24"/>
                <w:highlight w:val="none"/>
              </w:rPr>
            </w:pPr>
          </w:p>
        </w:tc>
      </w:tr>
      <w:tr w14:paraId="66CE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atLeast"/>
          <w:jc w:val="center"/>
        </w:trPr>
        <w:tc>
          <w:tcPr>
            <w:tcW w:w="2200" w:type="dxa"/>
            <w:vAlign w:val="center"/>
          </w:tcPr>
          <w:p w14:paraId="36DA568A">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联系电话</w:t>
            </w:r>
          </w:p>
        </w:tc>
        <w:tc>
          <w:tcPr>
            <w:tcW w:w="2835" w:type="dxa"/>
            <w:vAlign w:val="center"/>
          </w:tcPr>
          <w:p w14:paraId="0DF9E7B6">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020－82256333</w:t>
            </w:r>
          </w:p>
        </w:tc>
        <w:tc>
          <w:tcPr>
            <w:tcW w:w="1984" w:type="dxa"/>
            <w:vAlign w:val="center"/>
          </w:tcPr>
          <w:p w14:paraId="07FB1574">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联系电话</w:t>
            </w:r>
          </w:p>
        </w:tc>
        <w:tc>
          <w:tcPr>
            <w:tcW w:w="2481" w:type="dxa"/>
          </w:tcPr>
          <w:p w14:paraId="482C353A">
            <w:pPr>
              <w:jc w:val="center"/>
              <w:rPr>
                <w:color w:val="auto"/>
                <w:highlight w:val="none"/>
              </w:rPr>
            </w:pPr>
          </w:p>
        </w:tc>
      </w:tr>
      <w:tr w14:paraId="17B5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3" w:hRule="atLeast"/>
          <w:jc w:val="center"/>
        </w:trPr>
        <w:tc>
          <w:tcPr>
            <w:tcW w:w="2200" w:type="dxa"/>
            <w:vAlign w:val="center"/>
          </w:tcPr>
          <w:p w14:paraId="7542B303">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传    真</w:t>
            </w:r>
          </w:p>
        </w:tc>
        <w:tc>
          <w:tcPr>
            <w:tcW w:w="2835" w:type="dxa"/>
            <w:vAlign w:val="center"/>
          </w:tcPr>
          <w:p w14:paraId="4D6BA200">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020－82256329</w:t>
            </w:r>
          </w:p>
        </w:tc>
        <w:tc>
          <w:tcPr>
            <w:tcW w:w="1984" w:type="dxa"/>
            <w:vAlign w:val="center"/>
          </w:tcPr>
          <w:p w14:paraId="5A48630F">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传    真</w:t>
            </w:r>
          </w:p>
        </w:tc>
        <w:tc>
          <w:tcPr>
            <w:tcW w:w="2481" w:type="dxa"/>
          </w:tcPr>
          <w:p w14:paraId="42C14DB2">
            <w:pPr>
              <w:jc w:val="center"/>
              <w:rPr>
                <w:color w:val="auto"/>
                <w:highlight w:val="none"/>
              </w:rPr>
            </w:pPr>
          </w:p>
        </w:tc>
      </w:tr>
      <w:tr w14:paraId="6D5A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2200" w:type="dxa"/>
            <w:vAlign w:val="center"/>
          </w:tcPr>
          <w:p w14:paraId="1B36CE08">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邮政编码</w:t>
            </w:r>
          </w:p>
        </w:tc>
        <w:tc>
          <w:tcPr>
            <w:tcW w:w="2835" w:type="dxa"/>
            <w:vAlign w:val="center"/>
          </w:tcPr>
          <w:p w14:paraId="74A00934">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510730</w:t>
            </w:r>
          </w:p>
        </w:tc>
        <w:tc>
          <w:tcPr>
            <w:tcW w:w="1984" w:type="dxa"/>
            <w:vAlign w:val="center"/>
          </w:tcPr>
          <w:p w14:paraId="36251B76">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邮政编码</w:t>
            </w:r>
          </w:p>
        </w:tc>
        <w:tc>
          <w:tcPr>
            <w:tcW w:w="2481" w:type="dxa"/>
          </w:tcPr>
          <w:p w14:paraId="04A87A24">
            <w:pPr>
              <w:jc w:val="center"/>
              <w:rPr>
                <w:color w:val="auto"/>
                <w:highlight w:val="none"/>
              </w:rPr>
            </w:pPr>
          </w:p>
        </w:tc>
      </w:tr>
      <w:tr w14:paraId="4405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2200" w:type="dxa"/>
            <w:vAlign w:val="center"/>
          </w:tcPr>
          <w:p w14:paraId="7329E1B7">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统一社会信用代码</w:t>
            </w:r>
          </w:p>
        </w:tc>
        <w:tc>
          <w:tcPr>
            <w:tcW w:w="2835" w:type="dxa"/>
            <w:vAlign w:val="center"/>
          </w:tcPr>
          <w:p w14:paraId="72042FF3">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91440116728232349B</w:t>
            </w:r>
          </w:p>
        </w:tc>
        <w:tc>
          <w:tcPr>
            <w:tcW w:w="1984" w:type="dxa"/>
            <w:vAlign w:val="center"/>
          </w:tcPr>
          <w:p w14:paraId="7D1ED860">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统一社会信用代码</w:t>
            </w:r>
          </w:p>
        </w:tc>
        <w:tc>
          <w:tcPr>
            <w:tcW w:w="2481" w:type="dxa"/>
          </w:tcPr>
          <w:p w14:paraId="2A900107">
            <w:pPr>
              <w:jc w:val="center"/>
              <w:rPr>
                <w:color w:val="auto"/>
                <w:highlight w:val="none"/>
              </w:rPr>
            </w:pPr>
          </w:p>
        </w:tc>
      </w:tr>
      <w:tr w14:paraId="5C5B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2200" w:type="dxa"/>
            <w:vAlign w:val="center"/>
          </w:tcPr>
          <w:p w14:paraId="572629CF">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单位资质</w:t>
            </w:r>
          </w:p>
        </w:tc>
        <w:tc>
          <w:tcPr>
            <w:tcW w:w="2835" w:type="dxa"/>
            <w:vAlign w:val="center"/>
          </w:tcPr>
          <w:p w14:paraId="4945770B">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增值税一般纳税人</w:t>
            </w:r>
          </w:p>
        </w:tc>
        <w:tc>
          <w:tcPr>
            <w:tcW w:w="1984" w:type="dxa"/>
            <w:vAlign w:val="center"/>
          </w:tcPr>
          <w:p w14:paraId="474CEF6C">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单位资质</w:t>
            </w:r>
          </w:p>
        </w:tc>
        <w:tc>
          <w:tcPr>
            <w:tcW w:w="2481" w:type="dxa"/>
          </w:tcPr>
          <w:p w14:paraId="422517A4">
            <w:pPr>
              <w:jc w:val="center"/>
              <w:rPr>
                <w:color w:val="auto"/>
                <w:highlight w:val="none"/>
              </w:rPr>
            </w:pPr>
          </w:p>
        </w:tc>
      </w:tr>
      <w:tr w14:paraId="79E5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jc w:val="center"/>
        </w:trPr>
        <w:tc>
          <w:tcPr>
            <w:tcW w:w="2200" w:type="dxa"/>
            <w:vAlign w:val="center"/>
          </w:tcPr>
          <w:p w14:paraId="733B2522">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开户银行</w:t>
            </w:r>
          </w:p>
        </w:tc>
        <w:tc>
          <w:tcPr>
            <w:tcW w:w="2835" w:type="dxa"/>
            <w:vAlign w:val="center"/>
          </w:tcPr>
          <w:p w14:paraId="1E3A84B9">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建行广州开发区西区支行</w:t>
            </w:r>
          </w:p>
        </w:tc>
        <w:tc>
          <w:tcPr>
            <w:tcW w:w="1984" w:type="dxa"/>
            <w:vAlign w:val="center"/>
          </w:tcPr>
          <w:p w14:paraId="2D5C3F48">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开户银行</w:t>
            </w:r>
          </w:p>
        </w:tc>
        <w:tc>
          <w:tcPr>
            <w:tcW w:w="2481" w:type="dxa"/>
          </w:tcPr>
          <w:p w14:paraId="14E4A853">
            <w:pPr>
              <w:jc w:val="center"/>
              <w:rPr>
                <w:color w:val="auto"/>
                <w:highlight w:val="none"/>
              </w:rPr>
            </w:pPr>
          </w:p>
        </w:tc>
      </w:tr>
      <w:tr w14:paraId="5EFA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3" w:hRule="atLeast"/>
          <w:jc w:val="center"/>
        </w:trPr>
        <w:tc>
          <w:tcPr>
            <w:tcW w:w="2200" w:type="dxa"/>
            <w:vAlign w:val="center"/>
          </w:tcPr>
          <w:p w14:paraId="23FB9477">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帐    号</w:t>
            </w:r>
          </w:p>
        </w:tc>
        <w:tc>
          <w:tcPr>
            <w:tcW w:w="2835" w:type="dxa"/>
            <w:vAlign w:val="center"/>
          </w:tcPr>
          <w:p w14:paraId="79FE6C32">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44001471001050344740</w:t>
            </w:r>
          </w:p>
        </w:tc>
        <w:tc>
          <w:tcPr>
            <w:tcW w:w="1984" w:type="dxa"/>
            <w:vAlign w:val="center"/>
          </w:tcPr>
          <w:p w14:paraId="1C4B0010">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帐    号</w:t>
            </w:r>
          </w:p>
        </w:tc>
        <w:tc>
          <w:tcPr>
            <w:tcW w:w="2481" w:type="dxa"/>
          </w:tcPr>
          <w:p w14:paraId="5EF89D64">
            <w:pPr>
              <w:jc w:val="center"/>
              <w:rPr>
                <w:color w:val="auto"/>
                <w:highlight w:val="none"/>
              </w:rPr>
            </w:pPr>
          </w:p>
        </w:tc>
      </w:tr>
      <w:tr w14:paraId="7EC7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atLeast"/>
          <w:jc w:val="center"/>
        </w:trPr>
        <w:tc>
          <w:tcPr>
            <w:tcW w:w="2200" w:type="dxa"/>
            <w:vAlign w:val="center"/>
          </w:tcPr>
          <w:p w14:paraId="01AB17C4">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签署日期</w:t>
            </w:r>
          </w:p>
        </w:tc>
        <w:tc>
          <w:tcPr>
            <w:tcW w:w="2835" w:type="dxa"/>
            <w:vAlign w:val="center"/>
          </w:tcPr>
          <w:p w14:paraId="62F0FFB2">
            <w:pPr>
              <w:spacing w:after="163" w:afterLines="50"/>
              <w:jc w:val="righ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年    月   日</w:t>
            </w:r>
          </w:p>
        </w:tc>
        <w:tc>
          <w:tcPr>
            <w:tcW w:w="1984" w:type="dxa"/>
            <w:vAlign w:val="center"/>
          </w:tcPr>
          <w:p w14:paraId="006F2C8B">
            <w:pPr>
              <w:spacing w:after="163" w:afterLines="50"/>
              <w:jc w:val="center"/>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签署日期</w:t>
            </w:r>
          </w:p>
        </w:tc>
        <w:tc>
          <w:tcPr>
            <w:tcW w:w="2481" w:type="dxa"/>
            <w:vAlign w:val="center"/>
          </w:tcPr>
          <w:p w14:paraId="358B8645">
            <w:pPr>
              <w:spacing w:after="163" w:afterLines="50"/>
              <w:jc w:val="righ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 xml:space="preserve">  年    月    日</w:t>
            </w:r>
          </w:p>
        </w:tc>
      </w:tr>
    </w:tbl>
    <w:p w14:paraId="0C42DEC5">
      <w:pPr>
        <w:rPr>
          <w:rFonts w:asciiTheme="minorEastAsia" w:hAnsiTheme="minorEastAsia" w:eastAsiaTheme="minorEastAsia"/>
          <w:color w:val="auto"/>
          <w:highlight w:val="none"/>
        </w:rPr>
      </w:pPr>
    </w:p>
    <w:p w14:paraId="0A921C2E">
      <w:pPr>
        <w:tabs>
          <w:tab w:val="center" w:pos="4153"/>
        </w:tabs>
        <w:spacing w:line="360" w:lineRule="auto"/>
        <w:jc w:val="left"/>
        <w:rPr>
          <w:rFonts w:asciiTheme="minorEastAsia" w:hAnsiTheme="minorEastAsia" w:eastAsiaTheme="minorEastAsia"/>
          <w:color w:val="auto"/>
          <w:szCs w:val="24"/>
          <w:highlight w:val="none"/>
        </w:rPr>
      </w:pPr>
      <w:r>
        <w:rPr>
          <w:rFonts w:hint="eastAsia" w:asciiTheme="minorEastAsia" w:hAnsiTheme="minorEastAsia" w:eastAsiaTheme="minorEastAsia"/>
          <w:color w:val="auto"/>
          <w:szCs w:val="24"/>
          <w:highlight w:val="none"/>
        </w:rPr>
        <w:t>附件1: 公司消防设施设备清单</w:t>
      </w:r>
    </w:p>
    <w:tbl>
      <w:tblPr>
        <w:tblStyle w:val="15"/>
        <w:tblW w:w="9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700"/>
        <w:gridCol w:w="1080"/>
        <w:gridCol w:w="3060"/>
        <w:gridCol w:w="1971"/>
      </w:tblGrid>
      <w:tr w14:paraId="6328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shd w:val="pct10" w:color="auto" w:fill="auto"/>
            <w:vAlign w:val="center"/>
          </w:tcPr>
          <w:p w14:paraId="7447310A">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序号</w:t>
            </w:r>
          </w:p>
        </w:tc>
        <w:tc>
          <w:tcPr>
            <w:tcW w:w="2700" w:type="dxa"/>
            <w:shd w:val="pct10" w:color="auto" w:fill="auto"/>
            <w:vAlign w:val="center"/>
          </w:tcPr>
          <w:p w14:paraId="7C37CD50">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名称</w:t>
            </w:r>
          </w:p>
        </w:tc>
        <w:tc>
          <w:tcPr>
            <w:tcW w:w="1080" w:type="dxa"/>
            <w:shd w:val="pct10" w:color="auto" w:fill="auto"/>
            <w:vAlign w:val="center"/>
          </w:tcPr>
          <w:p w14:paraId="16619F9D">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数量</w:t>
            </w:r>
          </w:p>
        </w:tc>
        <w:tc>
          <w:tcPr>
            <w:tcW w:w="3060" w:type="dxa"/>
            <w:shd w:val="pct10" w:color="auto" w:fill="auto"/>
            <w:vAlign w:val="center"/>
          </w:tcPr>
          <w:p w14:paraId="0EF97675">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存放位置</w:t>
            </w:r>
          </w:p>
        </w:tc>
        <w:tc>
          <w:tcPr>
            <w:tcW w:w="1971" w:type="dxa"/>
            <w:shd w:val="pct10" w:color="auto" w:fill="auto"/>
            <w:vAlign w:val="center"/>
          </w:tcPr>
          <w:p w14:paraId="00A7A106">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备注</w:t>
            </w:r>
          </w:p>
        </w:tc>
      </w:tr>
      <w:tr w14:paraId="3D17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53ECE710">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1</w:t>
            </w:r>
          </w:p>
        </w:tc>
        <w:tc>
          <w:tcPr>
            <w:tcW w:w="2700" w:type="dxa"/>
            <w:vAlign w:val="center"/>
          </w:tcPr>
          <w:p w14:paraId="010797EE">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地上式消防栓</w:t>
            </w:r>
          </w:p>
        </w:tc>
        <w:tc>
          <w:tcPr>
            <w:tcW w:w="1080" w:type="dxa"/>
            <w:vAlign w:val="center"/>
          </w:tcPr>
          <w:p w14:paraId="25DDBCD7">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lang w:val="en-US" w:eastAsia="zh-CN"/>
              </w:rPr>
              <w:t>58</w:t>
            </w:r>
            <w:r>
              <w:rPr>
                <w:rFonts w:hint="eastAsia" w:ascii="宋体" w:hAnsi="宋体" w:eastAsia="宋体" w:cs="宋体"/>
                <w:color w:val="auto"/>
                <w:szCs w:val="24"/>
              </w:rPr>
              <w:t>个</w:t>
            </w:r>
          </w:p>
        </w:tc>
        <w:tc>
          <w:tcPr>
            <w:tcW w:w="3060" w:type="dxa"/>
            <w:vAlign w:val="center"/>
          </w:tcPr>
          <w:p w14:paraId="1F253CB8">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码头区域、危险货物堆场、集体宿舍</w:t>
            </w:r>
          </w:p>
        </w:tc>
        <w:tc>
          <w:tcPr>
            <w:tcW w:w="1971" w:type="dxa"/>
            <w:vAlign w:val="center"/>
          </w:tcPr>
          <w:p w14:paraId="711FEC76">
            <w:pPr>
              <w:spacing w:line="560" w:lineRule="exact"/>
              <w:jc w:val="center"/>
              <w:rPr>
                <w:rFonts w:hint="eastAsia" w:ascii="宋体" w:hAnsi="宋体" w:eastAsia="宋体" w:cs="宋体"/>
                <w:color w:val="auto"/>
                <w:szCs w:val="24"/>
              </w:rPr>
            </w:pPr>
          </w:p>
        </w:tc>
      </w:tr>
      <w:tr w14:paraId="5B55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2649979">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2</w:t>
            </w:r>
          </w:p>
        </w:tc>
        <w:tc>
          <w:tcPr>
            <w:tcW w:w="2700" w:type="dxa"/>
            <w:vAlign w:val="center"/>
          </w:tcPr>
          <w:p w14:paraId="2809B214">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卷盘式消防栓</w:t>
            </w:r>
          </w:p>
        </w:tc>
        <w:tc>
          <w:tcPr>
            <w:tcW w:w="1080" w:type="dxa"/>
            <w:vAlign w:val="center"/>
          </w:tcPr>
          <w:p w14:paraId="7E9C91C4">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lang w:val="en-US" w:eastAsia="zh-CN"/>
              </w:rPr>
              <w:t>41</w:t>
            </w:r>
            <w:r>
              <w:rPr>
                <w:rFonts w:hint="eastAsia" w:ascii="宋体" w:hAnsi="宋体" w:eastAsia="宋体" w:cs="宋体"/>
                <w:color w:val="auto"/>
                <w:szCs w:val="24"/>
              </w:rPr>
              <w:t>个</w:t>
            </w:r>
          </w:p>
        </w:tc>
        <w:tc>
          <w:tcPr>
            <w:tcW w:w="3060" w:type="dxa"/>
            <w:vAlign w:val="center"/>
          </w:tcPr>
          <w:p w14:paraId="61E8A630">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办公楼、仓库、危险货物堆场内、集体宿舍</w:t>
            </w:r>
          </w:p>
        </w:tc>
        <w:tc>
          <w:tcPr>
            <w:tcW w:w="1971" w:type="dxa"/>
            <w:vAlign w:val="center"/>
          </w:tcPr>
          <w:p w14:paraId="4D8FC8CD">
            <w:pPr>
              <w:spacing w:line="560" w:lineRule="exact"/>
              <w:jc w:val="center"/>
              <w:rPr>
                <w:rFonts w:hint="eastAsia" w:ascii="宋体" w:hAnsi="宋体" w:eastAsia="宋体" w:cs="宋体"/>
                <w:color w:val="auto"/>
                <w:szCs w:val="24"/>
              </w:rPr>
            </w:pPr>
          </w:p>
        </w:tc>
      </w:tr>
      <w:tr w14:paraId="5188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6657944B">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3</w:t>
            </w:r>
          </w:p>
        </w:tc>
        <w:tc>
          <w:tcPr>
            <w:tcW w:w="2700" w:type="dxa"/>
            <w:vAlign w:val="center"/>
          </w:tcPr>
          <w:p w14:paraId="4C649C8B">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正压式呼吸器</w:t>
            </w:r>
          </w:p>
        </w:tc>
        <w:tc>
          <w:tcPr>
            <w:tcW w:w="1080" w:type="dxa"/>
            <w:vAlign w:val="bottom"/>
          </w:tcPr>
          <w:p w14:paraId="0EE54F41">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4套</w:t>
            </w:r>
          </w:p>
        </w:tc>
        <w:tc>
          <w:tcPr>
            <w:tcW w:w="3060" w:type="dxa"/>
            <w:vAlign w:val="center"/>
          </w:tcPr>
          <w:p w14:paraId="40287973">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危险货物堆场消防箱内</w:t>
            </w:r>
          </w:p>
        </w:tc>
        <w:tc>
          <w:tcPr>
            <w:tcW w:w="1971" w:type="dxa"/>
            <w:vAlign w:val="center"/>
          </w:tcPr>
          <w:p w14:paraId="2B3ED349">
            <w:pPr>
              <w:spacing w:line="560" w:lineRule="exact"/>
              <w:jc w:val="center"/>
              <w:rPr>
                <w:rFonts w:hint="eastAsia" w:ascii="宋体" w:hAnsi="宋体" w:eastAsia="宋体" w:cs="宋体"/>
                <w:color w:val="auto"/>
                <w:szCs w:val="24"/>
              </w:rPr>
            </w:pPr>
          </w:p>
        </w:tc>
      </w:tr>
      <w:tr w14:paraId="4A43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7097109D">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4</w:t>
            </w:r>
          </w:p>
        </w:tc>
        <w:tc>
          <w:tcPr>
            <w:tcW w:w="2700" w:type="dxa"/>
            <w:vAlign w:val="center"/>
          </w:tcPr>
          <w:p w14:paraId="7CD747AA">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烟感自动报警系统</w:t>
            </w:r>
          </w:p>
        </w:tc>
        <w:tc>
          <w:tcPr>
            <w:tcW w:w="1080" w:type="dxa"/>
            <w:vAlign w:val="bottom"/>
          </w:tcPr>
          <w:p w14:paraId="3D4861AC">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lang w:val="en-US" w:eastAsia="zh-CN"/>
              </w:rPr>
              <w:t>3</w:t>
            </w:r>
            <w:r>
              <w:rPr>
                <w:rFonts w:hint="eastAsia" w:ascii="宋体" w:hAnsi="宋体" w:eastAsia="宋体" w:cs="宋体"/>
                <w:color w:val="auto"/>
                <w:szCs w:val="24"/>
              </w:rPr>
              <w:t>套</w:t>
            </w:r>
          </w:p>
        </w:tc>
        <w:tc>
          <w:tcPr>
            <w:tcW w:w="3060" w:type="dxa"/>
            <w:vAlign w:val="center"/>
          </w:tcPr>
          <w:p w14:paraId="1A195FF5">
            <w:pPr>
              <w:tabs>
                <w:tab w:val="center" w:pos="4153"/>
              </w:tabs>
              <w:spacing w:line="360" w:lineRule="auto"/>
              <w:jc w:val="center"/>
              <w:rPr>
                <w:rFonts w:hint="eastAsia" w:ascii="宋体" w:hAnsi="宋体" w:eastAsia="宋体" w:cs="宋体"/>
                <w:color w:val="auto"/>
                <w:szCs w:val="24"/>
                <w:lang w:val="en-US" w:eastAsia="zh-CN"/>
              </w:rPr>
            </w:pPr>
            <w:r>
              <w:rPr>
                <w:rFonts w:hint="eastAsia" w:ascii="宋体" w:hAnsi="宋体" w:eastAsia="宋体" w:cs="宋体"/>
                <w:color w:val="auto"/>
                <w:szCs w:val="24"/>
              </w:rPr>
              <w:t>办公楼信息部机房内</w:t>
            </w: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技术部</w:t>
            </w:r>
          </w:p>
        </w:tc>
        <w:tc>
          <w:tcPr>
            <w:tcW w:w="1971" w:type="dxa"/>
            <w:vAlign w:val="center"/>
          </w:tcPr>
          <w:p w14:paraId="346E75CF">
            <w:pPr>
              <w:spacing w:line="560" w:lineRule="exact"/>
              <w:jc w:val="center"/>
              <w:rPr>
                <w:rFonts w:hint="eastAsia" w:ascii="宋体" w:hAnsi="宋体" w:eastAsia="宋体" w:cs="宋体"/>
                <w:color w:val="auto"/>
                <w:szCs w:val="24"/>
              </w:rPr>
            </w:pPr>
          </w:p>
        </w:tc>
      </w:tr>
      <w:tr w14:paraId="5156C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550AA50E">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5</w:t>
            </w:r>
          </w:p>
        </w:tc>
        <w:tc>
          <w:tcPr>
            <w:tcW w:w="2700" w:type="dxa"/>
            <w:vAlign w:val="center"/>
          </w:tcPr>
          <w:p w14:paraId="1A01A905">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手持可燃气体探测仪</w:t>
            </w:r>
          </w:p>
        </w:tc>
        <w:tc>
          <w:tcPr>
            <w:tcW w:w="1080" w:type="dxa"/>
            <w:vAlign w:val="bottom"/>
          </w:tcPr>
          <w:p w14:paraId="4825505F">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1台</w:t>
            </w:r>
          </w:p>
        </w:tc>
        <w:tc>
          <w:tcPr>
            <w:tcW w:w="3060" w:type="dxa"/>
            <w:vAlign w:val="center"/>
          </w:tcPr>
          <w:p w14:paraId="0AFEF9FA">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冷危班办公室</w:t>
            </w:r>
          </w:p>
        </w:tc>
        <w:tc>
          <w:tcPr>
            <w:tcW w:w="1971" w:type="dxa"/>
            <w:vAlign w:val="center"/>
          </w:tcPr>
          <w:p w14:paraId="5ECE2536">
            <w:pPr>
              <w:spacing w:line="560" w:lineRule="exact"/>
              <w:jc w:val="center"/>
              <w:rPr>
                <w:rFonts w:hint="eastAsia" w:ascii="宋体" w:hAnsi="宋体" w:eastAsia="宋体" w:cs="宋体"/>
                <w:color w:val="auto"/>
                <w:szCs w:val="24"/>
              </w:rPr>
            </w:pPr>
          </w:p>
        </w:tc>
      </w:tr>
      <w:tr w14:paraId="00B5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1FBC9FD">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6</w:t>
            </w:r>
          </w:p>
        </w:tc>
        <w:tc>
          <w:tcPr>
            <w:tcW w:w="2700" w:type="dxa"/>
            <w:vAlign w:val="center"/>
          </w:tcPr>
          <w:p w14:paraId="3DF7EBFC">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手持红外线测温仪</w:t>
            </w:r>
          </w:p>
        </w:tc>
        <w:tc>
          <w:tcPr>
            <w:tcW w:w="1080" w:type="dxa"/>
            <w:vAlign w:val="bottom"/>
          </w:tcPr>
          <w:p w14:paraId="7059182A">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1台</w:t>
            </w:r>
          </w:p>
        </w:tc>
        <w:tc>
          <w:tcPr>
            <w:tcW w:w="3060" w:type="dxa"/>
            <w:vAlign w:val="center"/>
          </w:tcPr>
          <w:p w14:paraId="120E92EC">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冷危班办公室</w:t>
            </w:r>
          </w:p>
        </w:tc>
        <w:tc>
          <w:tcPr>
            <w:tcW w:w="1971" w:type="dxa"/>
            <w:vAlign w:val="center"/>
          </w:tcPr>
          <w:p w14:paraId="2C071761">
            <w:pPr>
              <w:spacing w:line="560" w:lineRule="exact"/>
              <w:jc w:val="center"/>
              <w:rPr>
                <w:rFonts w:hint="eastAsia" w:ascii="宋体" w:hAnsi="宋体" w:eastAsia="宋体" w:cs="宋体"/>
                <w:color w:val="auto"/>
                <w:szCs w:val="24"/>
              </w:rPr>
            </w:pPr>
          </w:p>
        </w:tc>
      </w:tr>
      <w:tr w14:paraId="67FE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243952D0">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7</w:t>
            </w:r>
          </w:p>
        </w:tc>
        <w:tc>
          <w:tcPr>
            <w:tcW w:w="2700" w:type="dxa"/>
            <w:vAlign w:val="center"/>
          </w:tcPr>
          <w:p w14:paraId="5F230492">
            <w:pPr>
              <w:tabs>
                <w:tab w:val="center" w:pos="4153"/>
              </w:tabs>
              <w:spacing w:line="360" w:lineRule="auto"/>
              <w:jc w:val="center"/>
              <w:rPr>
                <w:rFonts w:hint="eastAsia" w:ascii="宋体" w:hAnsi="宋体" w:eastAsia="宋体" w:cs="宋体"/>
                <w:color w:val="auto"/>
                <w:szCs w:val="24"/>
              </w:rPr>
            </w:pPr>
            <w:r>
              <w:rPr>
                <w:rFonts w:hint="eastAsia" w:ascii="宋体" w:hAnsi="宋体" w:eastAsia="宋体" w:cs="宋体"/>
                <w:color w:val="auto"/>
                <w:szCs w:val="24"/>
              </w:rPr>
              <w:t>沙池</w:t>
            </w:r>
          </w:p>
        </w:tc>
        <w:tc>
          <w:tcPr>
            <w:tcW w:w="1080" w:type="dxa"/>
            <w:vAlign w:val="bottom"/>
          </w:tcPr>
          <w:p w14:paraId="5B3C5C19">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4个</w:t>
            </w:r>
          </w:p>
        </w:tc>
        <w:tc>
          <w:tcPr>
            <w:tcW w:w="3060" w:type="dxa"/>
            <w:vAlign w:val="center"/>
          </w:tcPr>
          <w:p w14:paraId="62C90643">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危品堆场、加油站旁边</w:t>
            </w:r>
          </w:p>
        </w:tc>
        <w:tc>
          <w:tcPr>
            <w:tcW w:w="1971" w:type="dxa"/>
            <w:vAlign w:val="center"/>
          </w:tcPr>
          <w:p w14:paraId="426FD85D">
            <w:pPr>
              <w:spacing w:line="560" w:lineRule="exact"/>
              <w:jc w:val="center"/>
              <w:rPr>
                <w:rFonts w:hint="eastAsia" w:ascii="宋体" w:hAnsi="宋体" w:eastAsia="宋体" w:cs="宋体"/>
                <w:color w:val="auto"/>
                <w:szCs w:val="24"/>
              </w:rPr>
            </w:pPr>
          </w:p>
        </w:tc>
      </w:tr>
      <w:tr w14:paraId="6F54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74E36A70">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8</w:t>
            </w:r>
          </w:p>
        </w:tc>
        <w:tc>
          <w:tcPr>
            <w:tcW w:w="2700" w:type="dxa"/>
            <w:vAlign w:val="center"/>
          </w:tcPr>
          <w:p w14:paraId="3F55CE02">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水基型灭火器</w:t>
            </w:r>
          </w:p>
        </w:tc>
        <w:tc>
          <w:tcPr>
            <w:tcW w:w="1080" w:type="dxa"/>
            <w:vAlign w:val="bottom"/>
          </w:tcPr>
          <w:p w14:paraId="505A9FFC">
            <w:pPr>
              <w:tabs>
                <w:tab w:val="center" w:pos="4153"/>
              </w:tabs>
              <w:spacing w:line="360" w:lineRule="auto"/>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113个</w:t>
            </w:r>
          </w:p>
        </w:tc>
        <w:tc>
          <w:tcPr>
            <w:tcW w:w="3060" w:type="dxa"/>
            <w:vAlign w:val="center"/>
          </w:tcPr>
          <w:p w14:paraId="321204B5">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危品堆场、办公楼、宿舍、大型机械等</w:t>
            </w:r>
          </w:p>
        </w:tc>
        <w:tc>
          <w:tcPr>
            <w:tcW w:w="1971" w:type="dxa"/>
            <w:vAlign w:val="center"/>
          </w:tcPr>
          <w:p w14:paraId="516DF077">
            <w:pPr>
              <w:spacing w:line="560" w:lineRule="exact"/>
              <w:jc w:val="center"/>
              <w:rPr>
                <w:rFonts w:hint="eastAsia" w:ascii="宋体" w:hAnsi="宋体" w:eastAsia="宋体" w:cs="宋体"/>
                <w:color w:val="auto"/>
                <w:szCs w:val="24"/>
              </w:rPr>
            </w:pPr>
          </w:p>
        </w:tc>
      </w:tr>
      <w:tr w14:paraId="7BB5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60947E73">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9</w:t>
            </w:r>
          </w:p>
        </w:tc>
        <w:tc>
          <w:tcPr>
            <w:tcW w:w="2700" w:type="dxa"/>
            <w:vAlign w:val="center"/>
          </w:tcPr>
          <w:p w14:paraId="03B2ACCE">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干粉灭火器</w:t>
            </w:r>
          </w:p>
        </w:tc>
        <w:tc>
          <w:tcPr>
            <w:tcW w:w="1080" w:type="dxa"/>
            <w:vAlign w:val="bottom"/>
          </w:tcPr>
          <w:p w14:paraId="28909BE4">
            <w:pPr>
              <w:tabs>
                <w:tab w:val="center" w:pos="4153"/>
              </w:tabs>
              <w:spacing w:line="360" w:lineRule="auto"/>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554个</w:t>
            </w:r>
          </w:p>
        </w:tc>
        <w:tc>
          <w:tcPr>
            <w:tcW w:w="3060" w:type="dxa"/>
            <w:vAlign w:val="center"/>
          </w:tcPr>
          <w:p w14:paraId="46351B9A">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危品堆场、办公楼、宿舍、大型机械等</w:t>
            </w:r>
          </w:p>
        </w:tc>
        <w:tc>
          <w:tcPr>
            <w:tcW w:w="1971" w:type="dxa"/>
            <w:vAlign w:val="center"/>
          </w:tcPr>
          <w:p w14:paraId="2A1A6520">
            <w:pPr>
              <w:spacing w:line="560" w:lineRule="exact"/>
              <w:jc w:val="center"/>
              <w:rPr>
                <w:rFonts w:hint="eastAsia" w:ascii="宋体" w:hAnsi="宋体" w:eastAsia="宋体" w:cs="宋体"/>
                <w:color w:val="auto"/>
                <w:szCs w:val="24"/>
              </w:rPr>
            </w:pPr>
          </w:p>
        </w:tc>
      </w:tr>
      <w:tr w14:paraId="564E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19750CCB">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10</w:t>
            </w:r>
          </w:p>
        </w:tc>
        <w:tc>
          <w:tcPr>
            <w:tcW w:w="2700" w:type="dxa"/>
            <w:vAlign w:val="center"/>
          </w:tcPr>
          <w:p w14:paraId="7C244090">
            <w:pPr>
              <w:spacing w:line="320" w:lineRule="exact"/>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二氧化碳灭火器</w:t>
            </w:r>
          </w:p>
        </w:tc>
        <w:tc>
          <w:tcPr>
            <w:tcW w:w="1080" w:type="dxa"/>
            <w:vAlign w:val="bottom"/>
          </w:tcPr>
          <w:p w14:paraId="71AF581E">
            <w:pPr>
              <w:tabs>
                <w:tab w:val="center" w:pos="4153"/>
              </w:tabs>
              <w:spacing w:line="360" w:lineRule="auto"/>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113个</w:t>
            </w:r>
          </w:p>
        </w:tc>
        <w:tc>
          <w:tcPr>
            <w:tcW w:w="3060" w:type="dxa"/>
            <w:vAlign w:val="center"/>
          </w:tcPr>
          <w:p w14:paraId="4C962A4A">
            <w:pPr>
              <w:spacing w:line="320" w:lineRule="exact"/>
              <w:ind w:left="535" w:hanging="535" w:hangingChars="223"/>
              <w:jc w:val="center"/>
              <w:rPr>
                <w:rFonts w:hint="eastAsia" w:ascii="宋体" w:hAnsi="宋体" w:eastAsia="宋体" w:cs="宋体"/>
                <w:color w:val="auto"/>
                <w:szCs w:val="24"/>
                <w:lang w:val="en-US" w:eastAsia="zh-CN"/>
              </w:rPr>
            </w:pPr>
            <w:r>
              <w:rPr>
                <w:rFonts w:hint="eastAsia" w:ascii="宋体" w:hAnsi="宋体" w:eastAsia="宋体" w:cs="宋体"/>
                <w:color w:val="auto"/>
                <w:szCs w:val="24"/>
              </w:rPr>
              <w:t>大型机械</w:t>
            </w: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信息部机房</w:t>
            </w:r>
          </w:p>
        </w:tc>
        <w:tc>
          <w:tcPr>
            <w:tcW w:w="1971" w:type="dxa"/>
            <w:vAlign w:val="center"/>
          </w:tcPr>
          <w:p w14:paraId="669FEC85">
            <w:pPr>
              <w:spacing w:line="560" w:lineRule="exact"/>
              <w:jc w:val="center"/>
              <w:rPr>
                <w:rFonts w:hint="eastAsia" w:ascii="宋体" w:hAnsi="宋体" w:eastAsia="宋体" w:cs="宋体"/>
                <w:color w:val="auto"/>
                <w:szCs w:val="24"/>
              </w:rPr>
            </w:pPr>
          </w:p>
        </w:tc>
      </w:tr>
      <w:tr w14:paraId="00BB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74063BC6">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11</w:t>
            </w:r>
          </w:p>
        </w:tc>
        <w:tc>
          <w:tcPr>
            <w:tcW w:w="2700" w:type="dxa"/>
            <w:vAlign w:val="center"/>
          </w:tcPr>
          <w:p w14:paraId="3F429CCE">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消防水枪</w:t>
            </w:r>
          </w:p>
        </w:tc>
        <w:tc>
          <w:tcPr>
            <w:tcW w:w="1080" w:type="dxa"/>
            <w:vAlign w:val="center"/>
          </w:tcPr>
          <w:p w14:paraId="3774B1F7">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107个</w:t>
            </w:r>
          </w:p>
        </w:tc>
        <w:tc>
          <w:tcPr>
            <w:tcW w:w="3060" w:type="dxa"/>
            <w:vAlign w:val="center"/>
          </w:tcPr>
          <w:p w14:paraId="4B4CFAF7">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办公楼、仓库、集体宿舍、危品</w:t>
            </w:r>
          </w:p>
          <w:p w14:paraId="41EC7A9D">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堆场、驳船码头消防箱内</w:t>
            </w:r>
          </w:p>
        </w:tc>
        <w:tc>
          <w:tcPr>
            <w:tcW w:w="1971" w:type="dxa"/>
            <w:vAlign w:val="center"/>
          </w:tcPr>
          <w:p w14:paraId="09CF3F80">
            <w:pPr>
              <w:spacing w:line="560" w:lineRule="exact"/>
              <w:jc w:val="center"/>
              <w:rPr>
                <w:rFonts w:hint="eastAsia" w:ascii="宋体" w:hAnsi="宋体" w:eastAsia="宋体" w:cs="宋体"/>
                <w:color w:val="auto"/>
                <w:szCs w:val="24"/>
              </w:rPr>
            </w:pPr>
          </w:p>
        </w:tc>
      </w:tr>
      <w:tr w14:paraId="1981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80CFBFF">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12</w:t>
            </w:r>
          </w:p>
        </w:tc>
        <w:tc>
          <w:tcPr>
            <w:tcW w:w="2700" w:type="dxa"/>
            <w:vAlign w:val="center"/>
          </w:tcPr>
          <w:p w14:paraId="203E3419">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消防水带</w:t>
            </w:r>
          </w:p>
        </w:tc>
        <w:tc>
          <w:tcPr>
            <w:tcW w:w="1080" w:type="dxa"/>
            <w:vAlign w:val="center"/>
          </w:tcPr>
          <w:p w14:paraId="2EBAE3B0">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107条</w:t>
            </w:r>
          </w:p>
        </w:tc>
        <w:tc>
          <w:tcPr>
            <w:tcW w:w="3060" w:type="dxa"/>
            <w:vAlign w:val="center"/>
          </w:tcPr>
          <w:p w14:paraId="0CC58C68">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办公楼、仓库、集体宿舍、危品堆场、驳船码头消防箱内</w:t>
            </w:r>
          </w:p>
        </w:tc>
        <w:tc>
          <w:tcPr>
            <w:tcW w:w="1971" w:type="dxa"/>
            <w:vAlign w:val="center"/>
          </w:tcPr>
          <w:p w14:paraId="077CBC27">
            <w:pPr>
              <w:spacing w:line="560" w:lineRule="exact"/>
              <w:jc w:val="center"/>
              <w:rPr>
                <w:rFonts w:hint="eastAsia" w:ascii="宋体" w:hAnsi="宋体" w:eastAsia="宋体" w:cs="宋体"/>
                <w:color w:val="auto"/>
                <w:szCs w:val="24"/>
              </w:rPr>
            </w:pPr>
          </w:p>
        </w:tc>
      </w:tr>
      <w:tr w14:paraId="1885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4D8BB6F4">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13</w:t>
            </w:r>
          </w:p>
        </w:tc>
        <w:tc>
          <w:tcPr>
            <w:tcW w:w="2700" w:type="dxa"/>
            <w:vAlign w:val="center"/>
          </w:tcPr>
          <w:p w14:paraId="4223F53F">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消防扳手</w:t>
            </w:r>
          </w:p>
        </w:tc>
        <w:tc>
          <w:tcPr>
            <w:tcW w:w="1080" w:type="dxa"/>
            <w:vAlign w:val="center"/>
          </w:tcPr>
          <w:p w14:paraId="05F65587">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1</w:t>
            </w:r>
            <w:r>
              <w:rPr>
                <w:rFonts w:hint="eastAsia" w:ascii="宋体" w:hAnsi="宋体" w:eastAsia="宋体" w:cs="宋体"/>
                <w:color w:val="auto"/>
                <w:szCs w:val="24"/>
                <w:lang w:val="en-US" w:eastAsia="zh-CN"/>
              </w:rPr>
              <w:t>3</w:t>
            </w:r>
            <w:r>
              <w:rPr>
                <w:rFonts w:hint="eastAsia" w:ascii="宋体" w:hAnsi="宋体" w:eastAsia="宋体" w:cs="宋体"/>
                <w:color w:val="auto"/>
                <w:szCs w:val="24"/>
              </w:rPr>
              <w:t>个</w:t>
            </w:r>
          </w:p>
        </w:tc>
        <w:tc>
          <w:tcPr>
            <w:tcW w:w="3060" w:type="dxa"/>
            <w:vAlign w:val="center"/>
          </w:tcPr>
          <w:p w14:paraId="6863BFA2">
            <w:pPr>
              <w:spacing w:line="320" w:lineRule="exact"/>
              <w:ind w:left="535" w:hanging="535" w:hangingChars="223"/>
              <w:jc w:val="center"/>
              <w:rPr>
                <w:rFonts w:hint="eastAsia" w:ascii="宋体" w:hAnsi="宋体" w:eastAsia="宋体" w:cs="宋体"/>
                <w:color w:val="auto"/>
                <w:szCs w:val="24"/>
                <w:lang w:val="en-US" w:eastAsia="zh-CN"/>
              </w:rPr>
            </w:pPr>
            <w:r>
              <w:rPr>
                <w:rFonts w:hint="eastAsia" w:ascii="宋体" w:hAnsi="宋体" w:eastAsia="宋体" w:cs="宋体"/>
                <w:color w:val="auto"/>
                <w:szCs w:val="24"/>
              </w:rPr>
              <w:t>危品堆场、驳船码头消防箱内</w:t>
            </w: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集体宿舍</w:t>
            </w:r>
          </w:p>
        </w:tc>
        <w:tc>
          <w:tcPr>
            <w:tcW w:w="1971" w:type="dxa"/>
            <w:vAlign w:val="center"/>
          </w:tcPr>
          <w:p w14:paraId="108EC2AA">
            <w:pPr>
              <w:spacing w:line="560" w:lineRule="exact"/>
              <w:jc w:val="center"/>
              <w:rPr>
                <w:rFonts w:hint="eastAsia" w:ascii="宋体" w:hAnsi="宋体" w:eastAsia="宋体" w:cs="宋体"/>
                <w:color w:val="auto"/>
                <w:szCs w:val="24"/>
              </w:rPr>
            </w:pPr>
          </w:p>
        </w:tc>
      </w:tr>
      <w:tr w14:paraId="453F9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7DE9518F">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14</w:t>
            </w:r>
          </w:p>
        </w:tc>
        <w:tc>
          <w:tcPr>
            <w:tcW w:w="2700" w:type="dxa"/>
            <w:vAlign w:val="center"/>
          </w:tcPr>
          <w:p w14:paraId="36CCA2FC">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防毒面具</w:t>
            </w:r>
          </w:p>
        </w:tc>
        <w:tc>
          <w:tcPr>
            <w:tcW w:w="1080" w:type="dxa"/>
            <w:vAlign w:val="center"/>
          </w:tcPr>
          <w:p w14:paraId="17BB125E">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lang w:val="en-US" w:eastAsia="zh-CN"/>
              </w:rPr>
              <w:t>198</w:t>
            </w:r>
            <w:r>
              <w:rPr>
                <w:rFonts w:hint="eastAsia" w:ascii="宋体" w:hAnsi="宋体" w:eastAsia="宋体" w:cs="宋体"/>
                <w:color w:val="auto"/>
                <w:szCs w:val="24"/>
              </w:rPr>
              <w:t>个</w:t>
            </w:r>
          </w:p>
        </w:tc>
        <w:tc>
          <w:tcPr>
            <w:tcW w:w="3060" w:type="dxa"/>
            <w:vAlign w:val="center"/>
          </w:tcPr>
          <w:p w14:paraId="73FEC1DE">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危品堆场、桥吊、门机机房、驳船码头消防箱内</w:t>
            </w:r>
          </w:p>
        </w:tc>
        <w:tc>
          <w:tcPr>
            <w:tcW w:w="1971" w:type="dxa"/>
            <w:vAlign w:val="center"/>
          </w:tcPr>
          <w:p w14:paraId="7A295B1B">
            <w:pPr>
              <w:spacing w:line="560" w:lineRule="exact"/>
              <w:jc w:val="center"/>
              <w:rPr>
                <w:rFonts w:hint="eastAsia" w:ascii="宋体" w:hAnsi="宋体" w:eastAsia="宋体" w:cs="宋体"/>
                <w:color w:val="auto"/>
                <w:szCs w:val="24"/>
              </w:rPr>
            </w:pPr>
          </w:p>
        </w:tc>
      </w:tr>
      <w:tr w14:paraId="2497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0CBDDB4E">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15</w:t>
            </w:r>
          </w:p>
        </w:tc>
        <w:tc>
          <w:tcPr>
            <w:tcW w:w="2700" w:type="dxa"/>
            <w:vAlign w:val="center"/>
          </w:tcPr>
          <w:p w14:paraId="226460AB">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消防斧头</w:t>
            </w:r>
          </w:p>
        </w:tc>
        <w:tc>
          <w:tcPr>
            <w:tcW w:w="1080" w:type="dxa"/>
            <w:vAlign w:val="center"/>
          </w:tcPr>
          <w:p w14:paraId="443122C8">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9把</w:t>
            </w:r>
          </w:p>
        </w:tc>
        <w:tc>
          <w:tcPr>
            <w:tcW w:w="3060" w:type="dxa"/>
            <w:vAlign w:val="center"/>
          </w:tcPr>
          <w:p w14:paraId="0FBCE0A9">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危品堆场、驳船码头消防箱内</w:t>
            </w:r>
          </w:p>
        </w:tc>
        <w:tc>
          <w:tcPr>
            <w:tcW w:w="1971" w:type="dxa"/>
            <w:vAlign w:val="center"/>
          </w:tcPr>
          <w:p w14:paraId="3FA7EB71">
            <w:pPr>
              <w:spacing w:line="560" w:lineRule="exact"/>
              <w:jc w:val="center"/>
              <w:rPr>
                <w:rFonts w:hint="eastAsia" w:ascii="宋体" w:hAnsi="宋体" w:eastAsia="宋体" w:cs="宋体"/>
                <w:color w:val="auto"/>
                <w:szCs w:val="24"/>
              </w:rPr>
            </w:pPr>
          </w:p>
        </w:tc>
      </w:tr>
      <w:tr w14:paraId="292B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3C923BB5">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16</w:t>
            </w:r>
          </w:p>
        </w:tc>
        <w:tc>
          <w:tcPr>
            <w:tcW w:w="2700" w:type="dxa"/>
            <w:vAlign w:val="center"/>
          </w:tcPr>
          <w:p w14:paraId="5B5F1DF8">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防静电工作服</w:t>
            </w:r>
          </w:p>
        </w:tc>
        <w:tc>
          <w:tcPr>
            <w:tcW w:w="1080" w:type="dxa"/>
            <w:vAlign w:val="center"/>
          </w:tcPr>
          <w:p w14:paraId="2E94DF0F">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20套</w:t>
            </w:r>
          </w:p>
        </w:tc>
        <w:tc>
          <w:tcPr>
            <w:tcW w:w="3060" w:type="dxa"/>
            <w:vAlign w:val="center"/>
          </w:tcPr>
          <w:p w14:paraId="44849FB5">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危品堆场、驳船码头消防箱内</w:t>
            </w:r>
          </w:p>
        </w:tc>
        <w:tc>
          <w:tcPr>
            <w:tcW w:w="1971" w:type="dxa"/>
            <w:vAlign w:val="center"/>
          </w:tcPr>
          <w:p w14:paraId="7CC5AC67">
            <w:pPr>
              <w:spacing w:line="560" w:lineRule="exact"/>
              <w:jc w:val="center"/>
              <w:rPr>
                <w:rFonts w:hint="eastAsia" w:ascii="宋体" w:hAnsi="宋体" w:eastAsia="宋体" w:cs="宋体"/>
                <w:color w:val="auto"/>
                <w:szCs w:val="24"/>
              </w:rPr>
            </w:pPr>
          </w:p>
        </w:tc>
      </w:tr>
      <w:tr w14:paraId="183DA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33A4DD38">
            <w:pPr>
              <w:spacing w:line="560" w:lineRule="exact"/>
              <w:jc w:val="center"/>
              <w:rPr>
                <w:rFonts w:hint="eastAsia" w:ascii="宋体" w:hAnsi="宋体" w:eastAsia="宋体" w:cs="宋体"/>
                <w:color w:val="auto"/>
                <w:szCs w:val="24"/>
              </w:rPr>
            </w:pPr>
            <w:r>
              <w:rPr>
                <w:rFonts w:hint="eastAsia" w:ascii="宋体" w:hAnsi="宋体" w:eastAsia="宋体" w:cs="宋体"/>
                <w:color w:val="auto"/>
                <w:szCs w:val="24"/>
              </w:rPr>
              <w:t>17</w:t>
            </w:r>
          </w:p>
        </w:tc>
        <w:tc>
          <w:tcPr>
            <w:tcW w:w="2700" w:type="dxa"/>
            <w:vAlign w:val="center"/>
          </w:tcPr>
          <w:p w14:paraId="57097BEB">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防静电水鞋</w:t>
            </w:r>
          </w:p>
        </w:tc>
        <w:tc>
          <w:tcPr>
            <w:tcW w:w="1080" w:type="dxa"/>
            <w:vAlign w:val="center"/>
          </w:tcPr>
          <w:p w14:paraId="5EFC0C3F">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20对</w:t>
            </w:r>
          </w:p>
        </w:tc>
        <w:tc>
          <w:tcPr>
            <w:tcW w:w="3060" w:type="dxa"/>
            <w:vAlign w:val="center"/>
          </w:tcPr>
          <w:p w14:paraId="550ACC79">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危品堆场、驳船码头消防箱内</w:t>
            </w:r>
          </w:p>
        </w:tc>
        <w:tc>
          <w:tcPr>
            <w:tcW w:w="1971" w:type="dxa"/>
            <w:vAlign w:val="center"/>
          </w:tcPr>
          <w:p w14:paraId="3F940536">
            <w:pPr>
              <w:spacing w:line="560" w:lineRule="exact"/>
              <w:jc w:val="center"/>
              <w:rPr>
                <w:rFonts w:hint="eastAsia" w:ascii="宋体" w:hAnsi="宋体" w:eastAsia="宋体" w:cs="宋体"/>
                <w:color w:val="auto"/>
                <w:szCs w:val="24"/>
              </w:rPr>
            </w:pPr>
          </w:p>
        </w:tc>
      </w:tr>
      <w:tr w14:paraId="3896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3CF35EBC">
            <w:pPr>
              <w:spacing w:line="560" w:lineRule="exact"/>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18</w:t>
            </w:r>
          </w:p>
        </w:tc>
        <w:tc>
          <w:tcPr>
            <w:tcW w:w="2700" w:type="dxa"/>
            <w:vAlign w:val="center"/>
          </w:tcPr>
          <w:p w14:paraId="0F10ED39">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胶手套</w:t>
            </w:r>
          </w:p>
        </w:tc>
        <w:tc>
          <w:tcPr>
            <w:tcW w:w="1080" w:type="dxa"/>
            <w:vAlign w:val="center"/>
          </w:tcPr>
          <w:p w14:paraId="40CC5CEE">
            <w:pPr>
              <w:spacing w:line="320" w:lineRule="exact"/>
              <w:jc w:val="center"/>
              <w:rPr>
                <w:rFonts w:hint="eastAsia" w:ascii="宋体" w:hAnsi="宋体" w:eastAsia="宋体" w:cs="宋体"/>
                <w:color w:val="auto"/>
                <w:szCs w:val="24"/>
              </w:rPr>
            </w:pPr>
            <w:r>
              <w:rPr>
                <w:rFonts w:hint="eastAsia" w:ascii="宋体" w:hAnsi="宋体" w:eastAsia="宋体" w:cs="宋体"/>
                <w:color w:val="auto"/>
                <w:szCs w:val="24"/>
              </w:rPr>
              <w:t>30对</w:t>
            </w:r>
          </w:p>
        </w:tc>
        <w:tc>
          <w:tcPr>
            <w:tcW w:w="3060" w:type="dxa"/>
            <w:vAlign w:val="center"/>
          </w:tcPr>
          <w:p w14:paraId="3A2FE394">
            <w:pPr>
              <w:spacing w:line="320" w:lineRule="exact"/>
              <w:ind w:left="535" w:hanging="535" w:hangingChars="223"/>
              <w:jc w:val="center"/>
              <w:rPr>
                <w:rFonts w:hint="eastAsia" w:ascii="宋体" w:hAnsi="宋体" w:eastAsia="宋体" w:cs="宋体"/>
                <w:color w:val="auto"/>
                <w:szCs w:val="24"/>
              </w:rPr>
            </w:pPr>
            <w:r>
              <w:rPr>
                <w:rFonts w:hint="eastAsia" w:ascii="宋体" w:hAnsi="宋体" w:eastAsia="宋体" w:cs="宋体"/>
                <w:color w:val="auto"/>
                <w:szCs w:val="24"/>
              </w:rPr>
              <w:t>危品堆场、驳船码头消防箱内</w:t>
            </w:r>
          </w:p>
        </w:tc>
        <w:tc>
          <w:tcPr>
            <w:tcW w:w="1971" w:type="dxa"/>
            <w:vAlign w:val="center"/>
          </w:tcPr>
          <w:p w14:paraId="53432DDD">
            <w:pPr>
              <w:spacing w:line="560" w:lineRule="exact"/>
              <w:jc w:val="center"/>
              <w:rPr>
                <w:rFonts w:hint="eastAsia" w:ascii="宋体" w:hAnsi="宋体" w:eastAsia="宋体" w:cs="宋体"/>
                <w:color w:val="auto"/>
                <w:szCs w:val="24"/>
              </w:rPr>
            </w:pPr>
          </w:p>
        </w:tc>
      </w:tr>
      <w:tr w14:paraId="07599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14:paraId="5BE9C6F9">
            <w:pPr>
              <w:spacing w:line="560" w:lineRule="exact"/>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19</w:t>
            </w:r>
          </w:p>
        </w:tc>
        <w:tc>
          <w:tcPr>
            <w:tcW w:w="2700" w:type="dxa"/>
            <w:vAlign w:val="center"/>
          </w:tcPr>
          <w:p w14:paraId="14980B83">
            <w:pPr>
              <w:spacing w:line="320" w:lineRule="exact"/>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消防水箱以及配套系统</w:t>
            </w:r>
          </w:p>
        </w:tc>
        <w:tc>
          <w:tcPr>
            <w:tcW w:w="1080" w:type="dxa"/>
            <w:vAlign w:val="center"/>
          </w:tcPr>
          <w:p w14:paraId="429EAF57">
            <w:pPr>
              <w:spacing w:line="320" w:lineRule="exact"/>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1套</w:t>
            </w:r>
          </w:p>
        </w:tc>
        <w:tc>
          <w:tcPr>
            <w:tcW w:w="3060" w:type="dxa"/>
            <w:vAlign w:val="center"/>
          </w:tcPr>
          <w:p w14:paraId="7FE2ABC9">
            <w:pPr>
              <w:spacing w:line="320" w:lineRule="exact"/>
              <w:ind w:left="535" w:hanging="535" w:hangingChars="223"/>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602堆场</w:t>
            </w:r>
          </w:p>
        </w:tc>
        <w:tc>
          <w:tcPr>
            <w:tcW w:w="1971" w:type="dxa"/>
            <w:vAlign w:val="center"/>
          </w:tcPr>
          <w:p w14:paraId="3A8C1021">
            <w:pPr>
              <w:spacing w:line="560" w:lineRule="exact"/>
              <w:jc w:val="center"/>
              <w:rPr>
                <w:rFonts w:hint="eastAsia" w:ascii="宋体" w:hAnsi="宋体" w:eastAsia="宋体" w:cs="宋体"/>
                <w:color w:val="auto"/>
                <w:szCs w:val="24"/>
              </w:rPr>
            </w:pPr>
          </w:p>
        </w:tc>
      </w:tr>
    </w:tbl>
    <w:p w14:paraId="3132B0F2">
      <w:pPr>
        <w:rPr>
          <w:rFonts w:hint="eastAsia" w:ascii="宋体" w:hAnsi="宋体" w:eastAsia="宋体" w:cs="宋体"/>
          <w:color w:val="auto"/>
          <w:sz w:val="22"/>
          <w:szCs w:val="18"/>
          <w:highlight w:val="none"/>
          <w:lang w:val="en-US" w:eastAsia="zh-CN"/>
        </w:rPr>
      </w:pPr>
    </w:p>
    <w:sectPr>
      <w:headerReference r:id="rId3" w:type="default"/>
      <w:footerReference r:id="rId4" w:type="default"/>
      <w:pgSz w:w="11906" w:h="16838"/>
      <w:pgMar w:top="1418" w:right="1418" w:bottom="1418" w:left="1418"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3FB64">
    <w:pPr>
      <w:pStyle w:val="13"/>
      <w:jc w:val="center"/>
      <w:rPr>
        <w:rFonts w:ascii="宋体" w:hAnsi="宋体" w:eastAsia="宋体"/>
      </w:rPr>
    </w:pPr>
    <w:r>
      <w:rPr>
        <w:rStyle w:val="17"/>
        <w:rFonts w:hint="eastAsia" w:ascii="宋体" w:hAnsi="宋体" w:eastAsia="宋体"/>
        <w:szCs w:val="21"/>
      </w:rPr>
      <w:t>第</w:t>
    </w:r>
    <w:r>
      <w:rPr>
        <w:rStyle w:val="17"/>
        <w:rFonts w:ascii="宋体" w:hAnsi="宋体" w:eastAsia="宋体"/>
        <w:szCs w:val="21"/>
      </w:rPr>
      <w:t xml:space="preserve"> </w:t>
    </w:r>
    <w:r>
      <w:rPr>
        <w:rStyle w:val="17"/>
        <w:rFonts w:ascii="宋体" w:hAnsi="宋体" w:eastAsia="宋体"/>
        <w:szCs w:val="21"/>
      </w:rPr>
      <w:fldChar w:fldCharType="begin"/>
    </w:r>
    <w:r>
      <w:rPr>
        <w:rStyle w:val="17"/>
        <w:rFonts w:ascii="宋体" w:hAnsi="宋体" w:eastAsia="宋体"/>
        <w:szCs w:val="21"/>
      </w:rPr>
      <w:instrText xml:space="preserve"> PAGE </w:instrText>
    </w:r>
    <w:r>
      <w:rPr>
        <w:rStyle w:val="17"/>
        <w:rFonts w:ascii="宋体" w:hAnsi="宋体" w:eastAsia="宋体"/>
        <w:szCs w:val="21"/>
      </w:rPr>
      <w:fldChar w:fldCharType="separate"/>
    </w:r>
    <w:r>
      <w:rPr>
        <w:rStyle w:val="17"/>
        <w:rFonts w:ascii="宋体" w:hAnsi="宋体" w:eastAsia="宋体"/>
        <w:szCs w:val="21"/>
      </w:rPr>
      <w:t>8</w:t>
    </w:r>
    <w:r>
      <w:rPr>
        <w:rStyle w:val="17"/>
        <w:rFonts w:ascii="宋体" w:hAnsi="宋体" w:eastAsia="宋体"/>
        <w:szCs w:val="21"/>
      </w:rPr>
      <w:fldChar w:fldCharType="end"/>
    </w:r>
    <w:r>
      <w:rPr>
        <w:rStyle w:val="17"/>
        <w:rFonts w:ascii="宋体" w:hAnsi="宋体" w:eastAsia="宋体"/>
        <w:szCs w:val="21"/>
      </w:rPr>
      <w:t xml:space="preserve"> </w:t>
    </w:r>
    <w:r>
      <w:rPr>
        <w:rStyle w:val="17"/>
        <w:rFonts w:hint="eastAsia" w:ascii="宋体" w:hAnsi="宋体" w:eastAsia="宋体"/>
        <w:szCs w:val="21"/>
      </w:rPr>
      <w:t>页</w:t>
    </w:r>
    <w:r>
      <w:rPr>
        <w:rStyle w:val="17"/>
        <w:rFonts w:ascii="宋体" w:hAnsi="宋体" w:eastAsia="宋体"/>
        <w:szCs w:val="21"/>
      </w:rPr>
      <w:t xml:space="preserve"> </w:t>
    </w:r>
    <w:r>
      <w:rPr>
        <w:rStyle w:val="17"/>
        <w:rFonts w:hint="eastAsia" w:ascii="宋体" w:hAnsi="宋体" w:eastAsia="宋体"/>
        <w:szCs w:val="21"/>
      </w:rPr>
      <w:t>共</w:t>
    </w:r>
    <w:r>
      <w:rPr>
        <w:rStyle w:val="17"/>
        <w:rFonts w:ascii="宋体" w:hAnsi="宋体" w:eastAsia="宋体"/>
        <w:szCs w:val="21"/>
      </w:rPr>
      <w:t xml:space="preserve"> </w:t>
    </w:r>
    <w:r>
      <w:rPr>
        <w:rStyle w:val="17"/>
        <w:rFonts w:ascii="宋体" w:hAnsi="宋体" w:eastAsia="宋体"/>
        <w:szCs w:val="21"/>
      </w:rPr>
      <w:fldChar w:fldCharType="begin"/>
    </w:r>
    <w:r>
      <w:rPr>
        <w:rStyle w:val="17"/>
        <w:rFonts w:ascii="宋体" w:hAnsi="宋体" w:eastAsia="宋体"/>
        <w:szCs w:val="21"/>
      </w:rPr>
      <w:instrText xml:space="preserve"> NUMPAGES </w:instrText>
    </w:r>
    <w:r>
      <w:rPr>
        <w:rStyle w:val="17"/>
        <w:rFonts w:ascii="宋体" w:hAnsi="宋体" w:eastAsia="宋体"/>
        <w:szCs w:val="21"/>
      </w:rPr>
      <w:fldChar w:fldCharType="separate"/>
    </w:r>
    <w:r>
      <w:rPr>
        <w:rStyle w:val="17"/>
        <w:rFonts w:ascii="宋体" w:hAnsi="宋体" w:eastAsia="宋体"/>
        <w:szCs w:val="21"/>
      </w:rPr>
      <w:t>9</w:t>
    </w:r>
    <w:r>
      <w:rPr>
        <w:rStyle w:val="17"/>
        <w:rFonts w:ascii="宋体" w:hAnsi="宋体" w:eastAsia="宋体"/>
        <w:szCs w:val="21"/>
      </w:rPr>
      <w:fldChar w:fldCharType="end"/>
    </w:r>
    <w:r>
      <w:rPr>
        <w:rStyle w:val="17"/>
        <w:rFonts w:ascii="宋体" w:hAnsi="宋体" w:eastAsia="宋体"/>
        <w:szCs w:val="21"/>
      </w:rPr>
      <w:t xml:space="preserve"> </w:t>
    </w:r>
    <w:r>
      <w:rPr>
        <w:rStyle w:val="17"/>
        <w:rFonts w:hint="eastAsia" w:ascii="宋体" w:hAnsi="宋体" w:eastAsia="宋体"/>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FF77B">
    <w:pPr>
      <w:rPr>
        <w:rFonts w:hint="default" w:eastAsia="仿宋体"/>
        <w:lang w:val="en-US" w:eastAsia="zh-CN"/>
      </w:rPr>
    </w:pPr>
    <w:r>
      <w:rPr>
        <w:rFonts w:hint="eastAsia"/>
      </w:rPr>
      <w:t xml:space="preserve">GCT消防维保项目合同                           合同编号: </w:t>
    </w:r>
    <w:r>
      <w:rPr>
        <w:rFonts w:hint="eastAsia"/>
        <w:lang w:val="en-US" w:eastAsia="zh-CN"/>
      </w:rP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03B31"/>
    <w:multiLevelType w:val="multilevel"/>
    <w:tmpl w:val="1B803B31"/>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485A5A47"/>
    <w:multiLevelType w:val="multilevel"/>
    <w:tmpl w:val="485A5A47"/>
    <w:lvl w:ilvl="0" w:tentative="0">
      <w:start w:val="1"/>
      <w:numFmt w:val="decimal"/>
      <w:pStyle w:val="2"/>
      <w:lvlText w:val="%1"/>
      <w:lvlJc w:val="left"/>
      <w:pPr>
        <w:tabs>
          <w:tab w:val="left" w:pos="851"/>
        </w:tabs>
        <w:ind w:left="851" w:hanging="709"/>
      </w:pPr>
      <w:rPr>
        <w:b/>
        <w:i w:val="0"/>
      </w:rPr>
    </w:lvl>
    <w:lvl w:ilvl="1" w:tentative="0">
      <w:start w:val="1"/>
      <w:numFmt w:val="decimal"/>
      <w:pStyle w:val="3"/>
      <w:lvlText w:val="%1.%2"/>
      <w:lvlJc w:val="left"/>
      <w:pPr>
        <w:tabs>
          <w:tab w:val="left" w:pos="576"/>
        </w:tabs>
        <w:ind w:left="576" w:hanging="576"/>
      </w:pPr>
      <w:rPr>
        <w:rFonts w:hint="eastAsia"/>
        <w:b w:val="0"/>
        <w:i w:val="0"/>
        <w:caps w:val="0"/>
        <w:strike w:val="0"/>
        <w:dstrike w:val="0"/>
        <w:vanish w:val="0"/>
        <w:color w:val="000000"/>
        <w:sz w:val="24"/>
        <w:szCs w:val="24"/>
        <w:vertAlign w:val="baseline"/>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b w:val="0"/>
        <w:i w:val="0"/>
        <w:caps w:val="0"/>
        <w:strike w:val="0"/>
        <w:dstrike w:val="0"/>
        <w:vanish w:val="0"/>
        <w:sz w:val="22"/>
        <w:vertAlign w:val="baseline"/>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2">
    <w:nsid w:val="5CC00E3E"/>
    <w:multiLevelType w:val="multilevel"/>
    <w:tmpl w:val="5CC00E3E"/>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72F"/>
    <w:rsid w:val="00001CAD"/>
    <w:rsid w:val="000201B7"/>
    <w:rsid w:val="000250A2"/>
    <w:rsid w:val="00041D00"/>
    <w:rsid w:val="00072597"/>
    <w:rsid w:val="0007356A"/>
    <w:rsid w:val="00112B6F"/>
    <w:rsid w:val="0012360A"/>
    <w:rsid w:val="0013509E"/>
    <w:rsid w:val="0014194C"/>
    <w:rsid w:val="001725BE"/>
    <w:rsid w:val="00197544"/>
    <w:rsid w:val="001B23CB"/>
    <w:rsid w:val="001C64BF"/>
    <w:rsid w:val="001E2DBB"/>
    <w:rsid w:val="00222FFC"/>
    <w:rsid w:val="00236855"/>
    <w:rsid w:val="00272909"/>
    <w:rsid w:val="002870B3"/>
    <w:rsid w:val="002C5DA0"/>
    <w:rsid w:val="002E0D68"/>
    <w:rsid w:val="002F093E"/>
    <w:rsid w:val="00316210"/>
    <w:rsid w:val="00317A05"/>
    <w:rsid w:val="003508F2"/>
    <w:rsid w:val="00386F4F"/>
    <w:rsid w:val="003F663B"/>
    <w:rsid w:val="00403C00"/>
    <w:rsid w:val="00432FBC"/>
    <w:rsid w:val="00485FFC"/>
    <w:rsid w:val="004D7824"/>
    <w:rsid w:val="005A34E1"/>
    <w:rsid w:val="006100EC"/>
    <w:rsid w:val="00611626"/>
    <w:rsid w:val="00634D21"/>
    <w:rsid w:val="0064758C"/>
    <w:rsid w:val="006576AE"/>
    <w:rsid w:val="006E4B00"/>
    <w:rsid w:val="00724986"/>
    <w:rsid w:val="00750B4F"/>
    <w:rsid w:val="00763741"/>
    <w:rsid w:val="00765B22"/>
    <w:rsid w:val="007C54B1"/>
    <w:rsid w:val="00833459"/>
    <w:rsid w:val="008D5A2C"/>
    <w:rsid w:val="008F4F97"/>
    <w:rsid w:val="00911A57"/>
    <w:rsid w:val="00915AFA"/>
    <w:rsid w:val="00922AB3"/>
    <w:rsid w:val="00950E2D"/>
    <w:rsid w:val="00966E2C"/>
    <w:rsid w:val="009A34A3"/>
    <w:rsid w:val="009A55E0"/>
    <w:rsid w:val="009B322C"/>
    <w:rsid w:val="009D71D3"/>
    <w:rsid w:val="009E23B6"/>
    <w:rsid w:val="009F78BA"/>
    <w:rsid w:val="00A142D9"/>
    <w:rsid w:val="00A24A52"/>
    <w:rsid w:val="00A563F8"/>
    <w:rsid w:val="00A616E2"/>
    <w:rsid w:val="00AB3E46"/>
    <w:rsid w:val="00AE3498"/>
    <w:rsid w:val="00AE5D5B"/>
    <w:rsid w:val="00B11206"/>
    <w:rsid w:val="00B215D2"/>
    <w:rsid w:val="00B46592"/>
    <w:rsid w:val="00B63EF6"/>
    <w:rsid w:val="00B82547"/>
    <w:rsid w:val="00B85114"/>
    <w:rsid w:val="00B974CD"/>
    <w:rsid w:val="00BE77B0"/>
    <w:rsid w:val="00C07F97"/>
    <w:rsid w:val="00C45CE6"/>
    <w:rsid w:val="00C83DDE"/>
    <w:rsid w:val="00CA7BD1"/>
    <w:rsid w:val="00CB4E77"/>
    <w:rsid w:val="00CF46FD"/>
    <w:rsid w:val="00CF6228"/>
    <w:rsid w:val="00D062C1"/>
    <w:rsid w:val="00D47E64"/>
    <w:rsid w:val="00D50153"/>
    <w:rsid w:val="00D659F9"/>
    <w:rsid w:val="00D8728D"/>
    <w:rsid w:val="00D90AE4"/>
    <w:rsid w:val="00DD717C"/>
    <w:rsid w:val="00DE4C9F"/>
    <w:rsid w:val="00E311D0"/>
    <w:rsid w:val="00E32ED3"/>
    <w:rsid w:val="00E34D03"/>
    <w:rsid w:val="00E61878"/>
    <w:rsid w:val="00EB7962"/>
    <w:rsid w:val="00F3572F"/>
    <w:rsid w:val="00F51609"/>
    <w:rsid w:val="00F57B22"/>
    <w:rsid w:val="00F76CFF"/>
    <w:rsid w:val="00F86150"/>
    <w:rsid w:val="010206C8"/>
    <w:rsid w:val="013D7DC1"/>
    <w:rsid w:val="025A5C27"/>
    <w:rsid w:val="02A106FB"/>
    <w:rsid w:val="02ED3578"/>
    <w:rsid w:val="031D55F4"/>
    <w:rsid w:val="045A69DE"/>
    <w:rsid w:val="055364BE"/>
    <w:rsid w:val="096D64BC"/>
    <w:rsid w:val="0B3D3EBE"/>
    <w:rsid w:val="0BAA2F41"/>
    <w:rsid w:val="0D0B1B7E"/>
    <w:rsid w:val="103B68D5"/>
    <w:rsid w:val="12DF0F23"/>
    <w:rsid w:val="13956051"/>
    <w:rsid w:val="17A355F5"/>
    <w:rsid w:val="17CB6B3D"/>
    <w:rsid w:val="18040F11"/>
    <w:rsid w:val="183A5554"/>
    <w:rsid w:val="1AA70937"/>
    <w:rsid w:val="1AE04D56"/>
    <w:rsid w:val="1F5C736E"/>
    <w:rsid w:val="2250730E"/>
    <w:rsid w:val="25CA6692"/>
    <w:rsid w:val="29FD17D3"/>
    <w:rsid w:val="2BE62E7A"/>
    <w:rsid w:val="2C0970C4"/>
    <w:rsid w:val="2C58561B"/>
    <w:rsid w:val="2DB0390D"/>
    <w:rsid w:val="3E1B43B2"/>
    <w:rsid w:val="41534B86"/>
    <w:rsid w:val="4663688E"/>
    <w:rsid w:val="48946844"/>
    <w:rsid w:val="4A881DD5"/>
    <w:rsid w:val="4AF61793"/>
    <w:rsid w:val="4E216465"/>
    <w:rsid w:val="5511242F"/>
    <w:rsid w:val="57D95617"/>
    <w:rsid w:val="58CB0149"/>
    <w:rsid w:val="59EA39CB"/>
    <w:rsid w:val="5BEE57D9"/>
    <w:rsid w:val="5EC12CA1"/>
    <w:rsid w:val="5F0D6BB9"/>
    <w:rsid w:val="60AF1793"/>
    <w:rsid w:val="6473252A"/>
    <w:rsid w:val="68BF2E1D"/>
    <w:rsid w:val="68DC0670"/>
    <w:rsid w:val="69E627AC"/>
    <w:rsid w:val="6D1124D8"/>
    <w:rsid w:val="6FF7266F"/>
    <w:rsid w:val="734835F5"/>
    <w:rsid w:val="73C7709B"/>
    <w:rsid w:val="74D93BF2"/>
    <w:rsid w:val="792B7EA3"/>
    <w:rsid w:val="7B654117"/>
    <w:rsid w:val="7B6D2E5D"/>
    <w:rsid w:val="7B742DE7"/>
    <w:rsid w:val="7B9B72F6"/>
    <w:rsid w:val="7FBC7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709"/>
        <w:tab w:val="left" w:pos="1418"/>
        <w:tab w:val="left" w:pos="2126"/>
        <w:tab w:val="left" w:pos="2835"/>
        <w:tab w:val="left" w:pos="3544"/>
        <w:tab w:val="left" w:pos="4253"/>
        <w:tab w:val="left" w:pos="4961"/>
        <w:tab w:val="left" w:pos="5670"/>
        <w:tab w:val="left" w:pos="6379"/>
        <w:tab w:val="left" w:pos="7088"/>
      </w:tabs>
      <w:adjustRightInd w:val="0"/>
      <w:snapToGrid w:val="0"/>
      <w:jc w:val="both"/>
    </w:pPr>
    <w:rPr>
      <w:rFonts w:ascii="Times New Roman" w:hAnsi="Times New Roman" w:eastAsia="仿宋体" w:cs="Times New Roman"/>
      <w:kern w:val="2"/>
      <w:sz w:val="24"/>
      <w:lang w:val="en-US" w:eastAsia="zh-CN" w:bidi="ar-SA"/>
    </w:rPr>
  </w:style>
  <w:style w:type="paragraph" w:styleId="2">
    <w:name w:val="heading 1"/>
    <w:basedOn w:val="1"/>
    <w:next w:val="1"/>
    <w:link w:val="18"/>
    <w:qFormat/>
    <w:uiPriority w:val="99"/>
    <w:pPr>
      <w:keepNext/>
      <w:numPr>
        <w:ilvl w:val="0"/>
        <w:numId w:val="1"/>
      </w:numPr>
      <w:outlineLvl w:val="0"/>
    </w:pPr>
    <w:rPr>
      <w:b/>
      <w:sz w:val="28"/>
    </w:rPr>
  </w:style>
  <w:style w:type="paragraph" w:styleId="3">
    <w:name w:val="heading 2"/>
    <w:basedOn w:val="1"/>
    <w:next w:val="1"/>
    <w:link w:val="19"/>
    <w:qFormat/>
    <w:uiPriority w:val="99"/>
    <w:pPr>
      <w:keepNext/>
      <w:numPr>
        <w:ilvl w:val="1"/>
        <w:numId w:val="1"/>
      </w:numPr>
      <w:tabs>
        <w:tab w:val="left" w:pos="3119"/>
        <w:tab w:val="clear" w:pos="709"/>
      </w:tabs>
      <w:outlineLvl w:val="1"/>
    </w:pPr>
    <w:rPr>
      <w:rFonts w:eastAsia="仿宋_GB2312"/>
      <w:b/>
    </w:rPr>
  </w:style>
  <w:style w:type="paragraph" w:styleId="4">
    <w:name w:val="heading 3"/>
    <w:basedOn w:val="1"/>
    <w:next w:val="5"/>
    <w:link w:val="20"/>
    <w:qFormat/>
    <w:uiPriority w:val="99"/>
    <w:pPr>
      <w:keepNext/>
      <w:widowControl/>
      <w:numPr>
        <w:ilvl w:val="2"/>
        <w:numId w:val="1"/>
      </w:numPr>
      <w:tabs>
        <w:tab w:val="left" w:pos="0"/>
        <w:tab w:val="left" w:pos="7796"/>
        <w:tab w:val="left" w:pos="8505"/>
      </w:tabs>
      <w:suppressAutoHyphens/>
      <w:outlineLvl w:val="2"/>
    </w:pPr>
    <w:rPr>
      <w:spacing w:val="-2"/>
    </w:rPr>
  </w:style>
  <w:style w:type="paragraph" w:styleId="6">
    <w:name w:val="heading 4"/>
    <w:basedOn w:val="1"/>
    <w:next w:val="5"/>
    <w:link w:val="21"/>
    <w:qFormat/>
    <w:uiPriority w:val="99"/>
    <w:pPr>
      <w:keepNext/>
      <w:numPr>
        <w:ilvl w:val="3"/>
        <w:numId w:val="1"/>
      </w:numPr>
      <w:tabs>
        <w:tab w:val="left" w:pos="7796"/>
        <w:tab w:val="left" w:pos="8505"/>
        <w:tab w:val="clear" w:pos="709"/>
      </w:tabs>
      <w:outlineLvl w:val="3"/>
    </w:pPr>
    <w:rPr>
      <w:sz w:val="22"/>
    </w:rPr>
  </w:style>
  <w:style w:type="paragraph" w:styleId="7">
    <w:name w:val="heading 5"/>
    <w:basedOn w:val="1"/>
    <w:next w:val="5"/>
    <w:link w:val="22"/>
    <w:qFormat/>
    <w:uiPriority w:val="99"/>
    <w:pPr>
      <w:numPr>
        <w:ilvl w:val="4"/>
        <w:numId w:val="1"/>
      </w:numPr>
      <w:tabs>
        <w:tab w:val="left" w:pos="7796"/>
        <w:tab w:val="left" w:pos="8505"/>
        <w:tab w:val="clear" w:pos="709"/>
      </w:tabs>
      <w:outlineLvl w:val="4"/>
    </w:pPr>
    <w:rPr>
      <w:sz w:val="22"/>
    </w:rPr>
  </w:style>
  <w:style w:type="paragraph" w:styleId="8">
    <w:name w:val="heading 6"/>
    <w:basedOn w:val="1"/>
    <w:next w:val="1"/>
    <w:link w:val="23"/>
    <w:qFormat/>
    <w:uiPriority w:val="99"/>
    <w:pPr>
      <w:numPr>
        <w:ilvl w:val="5"/>
        <w:numId w:val="1"/>
      </w:numPr>
      <w:tabs>
        <w:tab w:val="left" w:pos="7796"/>
        <w:tab w:val="left" w:pos="8505"/>
        <w:tab w:val="clear" w:pos="709"/>
      </w:tabs>
      <w:outlineLvl w:val="5"/>
    </w:pPr>
    <w:rPr>
      <w:sz w:val="22"/>
    </w:rPr>
  </w:style>
  <w:style w:type="paragraph" w:styleId="9">
    <w:name w:val="heading 7"/>
    <w:basedOn w:val="1"/>
    <w:next w:val="1"/>
    <w:link w:val="24"/>
    <w:qFormat/>
    <w:uiPriority w:val="99"/>
    <w:pPr>
      <w:keepNext/>
      <w:numPr>
        <w:ilvl w:val="6"/>
        <w:numId w:val="1"/>
      </w:numPr>
      <w:tabs>
        <w:tab w:val="left" w:pos="7796"/>
        <w:tab w:val="left" w:pos="8505"/>
        <w:tab w:val="clear" w:pos="709"/>
      </w:tabs>
      <w:outlineLvl w:val="6"/>
    </w:pPr>
    <w:rPr>
      <w:rFonts w:eastAsia="仿宋_GB2312"/>
      <w:sz w:val="22"/>
    </w:rPr>
  </w:style>
  <w:style w:type="paragraph" w:styleId="10">
    <w:name w:val="heading 8"/>
    <w:basedOn w:val="1"/>
    <w:next w:val="1"/>
    <w:link w:val="25"/>
    <w:qFormat/>
    <w:uiPriority w:val="99"/>
    <w:pPr>
      <w:numPr>
        <w:ilvl w:val="7"/>
        <w:numId w:val="1"/>
      </w:numPr>
      <w:tabs>
        <w:tab w:val="left" w:pos="7796"/>
        <w:tab w:val="left" w:pos="8505"/>
        <w:tab w:val="clear" w:pos="709"/>
      </w:tabs>
      <w:spacing w:before="240" w:after="60"/>
      <w:outlineLvl w:val="7"/>
    </w:pPr>
    <w:rPr>
      <w:rFonts w:ascii="Arial" w:hAnsi="Arial"/>
      <w:i/>
    </w:rPr>
  </w:style>
  <w:style w:type="paragraph" w:styleId="11">
    <w:name w:val="heading 9"/>
    <w:basedOn w:val="1"/>
    <w:next w:val="1"/>
    <w:link w:val="26"/>
    <w:qFormat/>
    <w:uiPriority w:val="99"/>
    <w:pPr>
      <w:numPr>
        <w:ilvl w:val="8"/>
        <w:numId w:val="1"/>
      </w:numPr>
      <w:tabs>
        <w:tab w:val="left" w:pos="7796"/>
        <w:tab w:val="left" w:pos="8505"/>
        <w:tab w:val="clear" w:pos="709"/>
      </w:tabs>
      <w:spacing w:before="240" w:after="60"/>
      <w:outlineLvl w:val="8"/>
    </w:pPr>
    <w:rPr>
      <w:rFonts w:ascii="Arial" w:hAnsi="Arial"/>
      <w:b/>
      <w:i/>
      <w:sz w:val="1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unhideWhenUsed/>
    <w:qFormat/>
    <w:uiPriority w:val="0"/>
    <w:pPr>
      <w:ind w:firstLine="420" w:firstLineChars="200"/>
    </w:pPr>
  </w:style>
  <w:style w:type="paragraph" w:styleId="12">
    <w:name w:val="Balloon Text"/>
    <w:basedOn w:val="1"/>
    <w:link w:val="31"/>
    <w:semiHidden/>
    <w:unhideWhenUsed/>
    <w:qFormat/>
    <w:uiPriority w:val="99"/>
    <w:rPr>
      <w:sz w:val="18"/>
      <w:szCs w:val="18"/>
    </w:rPr>
  </w:style>
  <w:style w:type="paragraph" w:styleId="13">
    <w:name w:val="footer"/>
    <w:basedOn w:val="1"/>
    <w:link w:val="30"/>
    <w:unhideWhenUsed/>
    <w:qFormat/>
    <w:uiPriority w:val="99"/>
    <w:pPr>
      <w:tabs>
        <w:tab w:val="center" w:pos="4153"/>
        <w:tab w:val="right" w:pos="8306"/>
        <w:tab w:val="clear" w:pos="709"/>
        <w:tab w:val="clear" w:pos="1418"/>
        <w:tab w:val="clear" w:pos="2126"/>
        <w:tab w:val="clear" w:pos="2835"/>
        <w:tab w:val="clear" w:pos="3544"/>
        <w:tab w:val="clear" w:pos="4253"/>
        <w:tab w:val="clear" w:pos="4961"/>
        <w:tab w:val="clear" w:pos="5670"/>
        <w:tab w:val="clear" w:pos="6379"/>
        <w:tab w:val="clear" w:pos="7088"/>
      </w:tabs>
      <w:jc w:val="left"/>
    </w:pPr>
    <w:rPr>
      <w:sz w:val="18"/>
      <w:szCs w:val="18"/>
    </w:rPr>
  </w:style>
  <w:style w:type="paragraph" w:styleId="14">
    <w:name w:val="header"/>
    <w:basedOn w:val="1"/>
    <w:link w:val="29"/>
    <w:unhideWhenUsed/>
    <w:qFormat/>
    <w:uiPriority w:val="99"/>
    <w:pPr>
      <w:pBdr>
        <w:bottom w:val="single" w:color="auto" w:sz="6" w:space="1"/>
      </w:pBdr>
      <w:tabs>
        <w:tab w:val="center" w:pos="4153"/>
        <w:tab w:val="right" w:pos="8306"/>
        <w:tab w:val="clear" w:pos="709"/>
        <w:tab w:val="clear" w:pos="1418"/>
        <w:tab w:val="clear" w:pos="2126"/>
        <w:tab w:val="clear" w:pos="2835"/>
        <w:tab w:val="clear" w:pos="3544"/>
        <w:tab w:val="clear" w:pos="4253"/>
        <w:tab w:val="clear" w:pos="4961"/>
        <w:tab w:val="clear" w:pos="5670"/>
        <w:tab w:val="clear" w:pos="6379"/>
        <w:tab w:val="clear" w:pos="7088"/>
      </w:tabs>
      <w:jc w:val="center"/>
    </w:pPr>
    <w:rPr>
      <w:sz w:val="18"/>
      <w:szCs w:val="18"/>
    </w:rPr>
  </w:style>
  <w:style w:type="character" w:styleId="17">
    <w:name w:val="page number"/>
    <w:basedOn w:val="16"/>
    <w:qFormat/>
    <w:uiPriority w:val="99"/>
    <w:rPr>
      <w:rFonts w:cs="Times New Roman"/>
    </w:rPr>
  </w:style>
  <w:style w:type="character" w:customStyle="1" w:styleId="18">
    <w:name w:val="标题 1 字符"/>
    <w:basedOn w:val="16"/>
    <w:link w:val="2"/>
    <w:qFormat/>
    <w:uiPriority w:val="0"/>
    <w:rPr>
      <w:rFonts w:ascii="Times New Roman" w:hAnsi="Times New Roman" w:eastAsia="仿宋体" w:cs="Times New Roman"/>
      <w:b/>
      <w:sz w:val="28"/>
      <w:szCs w:val="20"/>
    </w:rPr>
  </w:style>
  <w:style w:type="character" w:customStyle="1" w:styleId="19">
    <w:name w:val="标题 2 字符"/>
    <w:basedOn w:val="16"/>
    <w:link w:val="3"/>
    <w:qFormat/>
    <w:uiPriority w:val="99"/>
    <w:rPr>
      <w:rFonts w:ascii="Times New Roman" w:hAnsi="Times New Roman" w:eastAsia="仿宋_GB2312" w:cs="Times New Roman"/>
      <w:b/>
      <w:sz w:val="24"/>
      <w:szCs w:val="20"/>
    </w:rPr>
  </w:style>
  <w:style w:type="character" w:customStyle="1" w:styleId="20">
    <w:name w:val="标题 3 字符"/>
    <w:basedOn w:val="16"/>
    <w:link w:val="4"/>
    <w:qFormat/>
    <w:uiPriority w:val="0"/>
    <w:rPr>
      <w:rFonts w:ascii="Times New Roman" w:hAnsi="Times New Roman" w:eastAsia="仿宋体" w:cs="Times New Roman"/>
      <w:spacing w:val="-2"/>
      <w:sz w:val="24"/>
      <w:szCs w:val="20"/>
    </w:rPr>
  </w:style>
  <w:style w:type="character" w:customStyle="1" w:styleId="21">
    <w:name w:val="标题 4 字符"/>
    <w:basedOn w:val="16"/>
    <w:link w:val="6"/>
    <w:qFormat/>
    <w:uiPriority w:val="0"/>
    <w:rPr>
      <w:rFonts w:ascii="Times New Roman" w:hAnsi="Times New Roman" w:eastAsia="仿宋体" w:cs="Times New Roman"/>
      <w:sz w:val="22"/>
      <w:szCs w:val="20"/>
    </w:rPr>
  </w:style>
  <w:style w:type="character" w:customStyle="1" w:styleId="22">
    <w:name w:val="标题 5 字符"/>
    <w:basedOn w:val="16"/>
    <w:link w:val="7"/>
    <w:qFormat/>
    <w:uiPriority w:val="0"/>
    <w:rPr>
      <w:rFonts w:ascii="Times New Roman" w:hAnsi="Times New Roman" w:eastAsia="仿宋体" w:cs="Times New Roman"/>
      <w:sz w:val="22"/>
      <w:szCs w:val="20"/>
    </w:rPr>
  </w:style>
  <w:style w:type="character" w:customStyle="1" w:styleId="23">
    <w:name w:val="标题 6 字符"/>
    <w:basedOn w:val="16"/>
    <w:link w:val="8"/>
    <w:qFormat/>
    <w:uiPriority w:val="0"/>
    <w:rPr>
      <w:rFonts w:ascii="Times New Roman" w:hAnsi="Times New Roman" w:eastAsia="仿宋体" w:cs="Times New Roman"/>
      <w:sz w:val="22"/>
      <w:szCs w:val="20"/>
    </w:rPr>
  </w:style>
  <w:style w:type="character" w:customStyle="1" w:styleId="24">
    <w:name w:val="标题 7 字符"/>
    <w:basedOn w:val="16"/>
    <w:link w:val="9"/>
    <w:qFormat/>
    <w:uiPriority w:val="0"/>
    <w:rPr>
      <w:rFonts w:ascii="Times New Roman" w:hAnsi="Times New Roman" w:eastAsia="仿宋_GB2312" w:cs="Times New Roman"/>
      <w:sz w:val="22"/>
      <w:szCs w:val="20"/>
    </w:rPr>
  </w:style>
  <w:style w:type="character" w:customStyle="1" w:styleId="25">
    <w:name w:val="标题 8 字符"/>
    <w:basedOn w:val="16"/>
    <w:link w:val="10"/>
    <w:qFormat/>
    <w:uiPriority w:val="0"/>
    <w:rPr>
      <w:rFonts w:ascii="Arial" w:hAnsi="Arial" w:eastAsia="仿宋体" w:cs="Times New Roman"/>
      <w:i/>
      <w:sz w:val="24"/>
      <w:szCs w:val="20"/>
    </w:rPr>
  </w:style>
  <w:style w:type="character" w:customStyle="1" w:styleId="26">
    <w:name w:val="标题 9 字符"/>
    <w:basedOn w:val="16"/>
    <w:link w:val="11"/>
    <w:qFormat/>
    <w:uiPriority w:val="0"/>
    <w:rPr>
      <w:rFonts w:ascii="Arial" w:hAnsi="Arial" w:eastAsia="仿宋体" w:cs="Times New Roman"/>
      <w:b/>
      <w:i/>
      <w:sz w:val="18"/>
      <w:szCs w:val="20"/>
    </w:rPr>
  </w:style>
  <w:style w:type="paragraph" w:styleId="27">
    <w:name w:val="List Paragraph"/>
    <w:basedOn w:val="1"/>
    <w:link w:val="28"/>
    <w:qFormat/>
    <w:uiPriority w:val="34"/>
    <w:pPr>
      <w:spacing w:afterLines="50"/>
    </w:pPr>
    <w:rPr>
      <w:rFonts w:eastAsia="仿宋_GB2312"/>
      <w:szCs w:val="24"/>
    </w:rPr>
  </w:style>
  <w:style w:type="character" w:customStyle="1" w:styleId="28">
    <w:name w:val="列表段落 字符"/>
    <w:basedOn w:val="16"/>
    <w:link w:val="27"/>
    <w:qFormat/>
    <w:uiPriority w:val="34"/>
    <w:rPr>
      <w:rFonts w:ascii="Times New Roman" w:hAnsi="Times New Roman" w:eastAsia="仿宋_GB2312" w:cs="Times New Roman"/>
      <w:sz w:val="24"/>
      <w:szCs w:val="24"/>
    </w:rPr>
  </w:style>
  <w:style w:type="character" w:customStyle="1" w:styleId="29">
    <w:name w:val="页眉 字符"/>
    <w:basedOn w:val="16"/>
    <w:link w:val="14"/>
    <w:qFormat/>
    <w:uiPriority w:val="99"/>
    <w:rPr>
      <w:rFonts w:ascii="Times New Roman" w:hAnsi="Times New Roman" w:eastAsia="仿宋体" w:cs="Times New Roman"/>
      <w:sz w:val="18"/>
      <w:szCs w:val="18"/>
    </w:rPr>
  </w:style>
  <w:style w:type="character" w:customStyle="1" w:styleId="30">
    <w:name w:val="页脚 字符"/>
    <w:basedOn w:val="16"/>
    <w:link w:val="13"/>
    <w:qFormat/>
    <w:uiPriority w:val="99"/>
    <w:rPr>
      <w:rFonts w:ascii="Times New Roman" w:hAnsi="Times New Roman" w:eastAsia="仿宋体" w:cs="Times New Roman"/>
      <w:sz w:val="18"/>
      <w:szCs w:val="18"/>
    </w:rPr>
  </w:style>
  <w:style w:type="character" w:customStyle="1" w:styleId="31">
    <w:name w:val="批注框文本 字符"/>
    <w:basedOn w:val="16"/>
    <w:link w:val="12"/>
    <w:semiHidden/>
    <w:qFormat/>
    <w:uiPriority w:val="99"/>
    <w:rPr>
      <w:rFonts w:ascii="Times New Roman" w:hAnsi="Times New Roman" w:eastAsia="仿宋体" w:cs="Times New Roman"/>
      <w:sz w:val="18"/>
      <w:szCs w:val="18"/>
    </w:rPr>
  </w:style>
  <w:style w:type="paragraph" w:customStyle="1" w:styleId="32">
    <w:name w:val="Revision"/>
    <w:hidden/>
    <w:semiHidden/>
    <w:qFormat/>
    <w:uiPriority w:val="99"/>
    <w:rPr>
      <w:rFonts w:ascii="Times New Roman" w:hAnsi="Times New Roman" w:eastAsia="仿宋体" w:cs="Times New Roman"/>
      <w:kern w:val="2"/>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C7911D9-A87D-471F-926E-8B6547AAF659}">
  <ds:schemaRefs/>
</ds:datastoreItem>
</file>

<file path=docProps/app.xml><?xml version="1.0" encoding="utf-8"?>
<Properties xmlns="http://schemas.openxmlformats.org/officeDocument/2006/extended-properties" xmlns:vt="http://schemas.openxmlformats.org/officeDocument/2006/docPropsVTypes">
  <Template>Normal.dotm</Template>
  <Company>Dell Computer Corporation</Company>
  <Pages>10</Pages>
  <Words>2869</Words>
  <Characters>2898</Characters>
  <Lines>193</Lines>
  <Paragraphs>250</Paragraphs>
  <TotalTime>3</TotalTime>
  <ScaleCrop>false</ScaleCrop>
  <LinksUpToDate>false</LinksUpToDate>
  <CharactersWithSpaces>5517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2017-05-27T05:45:00Z</dcterms:created>
  <dc:creator>jxliang</dc:creator>
  <cp:lastModifiedBy>yyyang</cp:lastModifiedBy>
  <cp:lastPrinted>2023-07-25T07:10:00Z</cp:lastPrinted>
  <dcterms:modified xsi:type="dcterms:W3CDTF">2026-05-28T03:19:30Z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ABF361D4123A401485A7ACC2537923DD_13</vt:lpwstr>
  </property>
</Properties>
</file>